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73B89">
      <w:pPr>
        <w:pStyle w:val="7"/>
        <w:widowControl/>
        <w:snapToGrid w:val="0"/>
        <w:spacing w:line="360" w:lineRule="auto"/>
        <w:jc w:val="center"/>
        <w:rPr>
          <w:rFonts w:hint="eastAsia" w:ascii="华文中宋" w:hAnsi="华文中宋" w:eastAsia="华文中宋" w:cs="华文中宋"/>
          <w:b/>
          <w:color w:val="000000"/>
          <w:sz w:val="48"/>
          <w:szCs w:val="48"/>
        </w:rPr>
      </w:pPr>
    </w:p>
    <w:p w14:paraId="7EC8BC29">
      <w:pPr>
        <w:pStyle w:val="7"/>
        <w:widowControl/>
        <w:snapToGrid w:val="0"/>
        <w:spacing w:line="360" w:lineRule="auto"/>
        <w:jc w:val="center"/>
        <w:rPr>
          <w:rFonts w:hint="eastAsia" w:ascii="华文中宋" w:hAnsi="华文中宋" w:eastAsia="华文中宋" w:cs="华文中宋"/>
          <w:b/>
          <w:color w:val="000000"/>
          <w:sz w:val="48"/>
          <w:szCs w:val="48"/>
        </w:rPr>
      </w:pPr>
    </w:p>
    <w:p w14:paraId="4F4BAAC0">
      <w:pPr>
        <w:pStyle w:val="7"/>
        <w:widowControl/>
        <w:snapToGrid w:val="0"/>
        <w:spacing w:line="360" w:lineRule="auto"/>
        <w:jc w:val="center"/>
        <w:rPr>
          <w:rFonts w:hint="eastAsia" w:ascii="华文中宋" w:hAnsi="华文中宋" w:eastAsia="华文中宋" w:cs="华文中宋"/>
          <w:b/>
          <w:color w:val="000000"/>
          <w:sz w:val="48"/>
          <w:szCs w:val="48"/>
        </w:rPr>
      </w:pPr>
    </w:p>
    <w:p w14:paraId="0638D4A3">
      <w:pPr>
        <w:pStyle w:val="7"/>
        <w:widowControl/>
        <w:snapToGrid w:val="0"/>
        <w:spacing w:line="360" w:lineRule="auto"/>
        <w:jc w:val="center"/>
        <w:rPr>
          <w:rFonts w:hint="eastAsia" w:ascii="华文中宋" w:hAnsi="华文中宋" w:eastAsia="华文中宋" w:cs="华文中宋"/>
          <w:b/>
          <w:color w:val="000000"/>
          <w:sz w:val="48"/>
          <w:szCs w:val="48"/>
        </w:rPr>
      </w:pPr>
    </w:p>
    <w:p w14:paraId="245273FF">
      <w:pPr>
        <w:pStyle w:val="7"/>
        <w:widowControl/>
        <w:snapToGrid w:val="0"/>
        <w:spacing w:line="360" w:lineRule="auto"/>
        <w:jc w:val="center"/>
        <w:rPr>
          <w:rFonts w:hint="eastAsia" w:ascii="华文中宋" w:hAnsi="华文中宋" w:eastAsia="华文中宋" w:cs="华文中宋"/>
          <w:b/>
          <w:color w:val="000000"/>
          <w:sz w:val="48"/>
          <w:szCs w:val="48"/>
        </w:rPr>
      </w:pPr>
    </w:p>
    <w:p w14:paraId="3F287432">
      <w:pPr>
        <w:pStyle w:val="7"/>
        <w:widowControl/>
        <w:snapToGrid w:val="0"/>
        <w:spacing w:line="360" w:lineRule="auto"/>
        <w:jc w:val="center"/>
        <w:rPr>
          <w:rFonts w:hint="eastAsia" w:ascii="华文中宋" w:hAnsi="华文中宋" w:eastAsia="华文中宋" w:cs="华文中宋"/>
          <w:b/>
          <w:color w:val="000000"/>
          <w:sz w:val="48"/>
          <w:szCs w:val="48"/>
        </w:rPr>
      </w:pPr>
      <w:r>
        <w:rPr>
          <w:rFonts w:hint="eastAsia" w:ascii="华文中宋" w:hAnsi="华文中宋" w:eastAsia="华文中宋" w:cs="华文中宋"/>
          <w:b/>
          <w:color w:val="000000"/>
          <w:sz w:val="48"/>
          <w:szCs w:val="48"/>
        </w:rPr>
        <w:t>淮南市</w:t>
      </w:r>
      <w:r>
        <w:rPr>
          <w:rFonts w:hint="eastAsia" w:ascii="华文中宋" w:hAnsi="华文中宋" w:eastAsia="华文中宋" w:cs="华文中宋"/>
          <w:b/>
          <w:color w:val="000000"/>
          <w:sz w:val="48"/>
          <w:szCs w:val="48"/>
          <w:lang w:eastAsia="zh-CN"/>
        </w:rPr>
        <w:t>谢家集区文化和旅游局</w:t>
      </w:r>
      <w:r>
        <w:rPr>
          <w:rFonts w:hint="eastAsia" w:ascii="华文中宋" w:hAnsi="华文中宋" w:eastAsia="华文中宋" w:cs="华文中宋"/>
          <w:b/>
          <w:color w:val="000000"/>
          <w:sz w:val="48"/>
          <w:szCs w:val="48"/>
        </w:rPr>
        <w:t>202</w:t>
      </w:r>
      <w:r>
        <w:rPr>
          <w:rFonts w:hint="eastAsia" w:ascii="华文中宋" w:hAnsi="华文中宋" w:eastAsia="华文中宋" w:cs="华文中宋"/>
          <w:b/>
          <w:color w:val="000000"/>
          <w:sz w:val="48"/>
          <w:szCs w:val="48"/>
          <w:lang w:val="en-US" w:eastAsia="zh-CN"/>
        </w:rPr>
        <w:t>3</w:t>
      </w:r>
      <w:r>
        <w:rPr>
          <w:rFonts w:hint="eastAsia" w:ascii="华文中宋" w:hAnsi="华文中宋" w:eastAsia="华文中宋" w:cs="华文中宋"/>
          <w:b/>
          <w:color w:val="000000"/>
          <w:sz w:val="48"/>
          <w:szCs w:val="48"/>
        </w:rPr>
        <w:t>年度部门决算</w:t>
      </w:r>
    </w:p>
    <w:p w14:paraId="23EEEFC1">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219FD670">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4AE5CA63">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0EDBA40D">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3B3BA52C">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0B1E2472">
      <w:pPr>
        <w:pStyle w:val="7"/>
        <w:widowControl/>
        <w:rPr>
          <w:rFonts w:hint="eastAsia" w:ascii="宋体" w:hAnsi="宋体" w:cs="宋体"/>
          <w:color w:val="000000"/>
          <w:sz w:val="28"/>
          <w:szCs w:val="28"/>
        </w:rPr>
      </w:pPr>
    </w:p>
    <w:p w14:paraId="4C52CFEB">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7A4E4681">
      <w:pPr>
        <w:pStyle w:val="7"/>
        <w:widowControl/>
        <w:rPr>
          <w:rFonts w:hint="eastAsia" w:ascii="宋体" w:hAnsi="宋体" w:cs="宋体"/>
          <w:color w:val="000000"/>
          <w:sz w:val="28"/>
          <w:szCs w:val="28"/>
        </w:rPr>
      </w:pPr>
    </w:p>
    <w:p w14:paraId="62EEB497">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bookmarkStart w:id="0" w:name="_GoBack"/>
      <w:bookmarkEnd w:id="0"/>
    </w:p>
    <w:p w14:paraId="3C8C05F6">
      <w:pPr>
        <w:pStyle w:val="8"/>
        <w:widowControl/>
        <w:snapToGrid w:val="0"/>
        <w:spacing w:before="0" w:after="0" w:line="360" w:lineRule="auto"/>
        <w:jc w:val="center"/>
        <w:rPr>
          <w:rFonts w:ascii="黑体" w:eastAsia="黑体" w:cs="黑体"/>
          <w:color w:val="000000"/>
          <w:sz w:val="44"/>
          <w:szCs w:val="44"/>
        </w:rPr>
      </w:pPr>
      <w:r>
        <w:rPr>
          <w:rFonts w:ascii="黑体" w:eastAsia="黑体" w:cs="黑体"/>
          <w:color w:val="000000"/>
          <w:sz w:val="44"/>
          <w:szCs w:val="44"/>
        </w:rPr>
        <w:t>202</w:t>
      </w:r>
      <w:r>
        <w:rPr>
          <w:rFonts w:hint="eastAsia" w:ascii="黑体" w:eastAsia="黑体" w:cs="黑体"/>
          <w:color w:val="000000"/>
          <w:sz w:val="44"/>
          <w:szCs w:val="44"/>
          <w:lang w:val="en-US" w:eastAsia="zh-CN"/>
        </w:rPr>
        <w:t>4</w:t>
      </w:r>
      <w:r>
        <w:rPr>
          <w:rFonts w:ascii="黑体" w:eastAsia="黑体" w:cs="黑体"/>
          <w:color w:val="000000"/>
          <w:sz w:val="44"/>
          <w:szCs w:val="44"/>
        </w:rPr>
        <w:t>年</w:t>
      </w:r>
      <w:r>
        <w:rPr>
          <w:rFonts w:hint="eastAsia" w:ascii="黑体" w:eastAsia="黑体" w:cs="黑体"/>
          <w:color w:val="000000"/>
          <w:sz w:val="44"/>
          <w:szCs w:val="44"/>
          <w:lang w:val="en-US" w:eastAsia="zh-CN"/>
        </w:rPr>
        <w:t>9</w:t>
      </w:r>
      <w:r>
        <w:rPr>
          <w:rFonts w:ascii="黑体" w:eastAsia="黑体" w:cs="黑体"/>
          <w:color w:val="000000"/>
          <w:sz w:val="44"/>
          <w:szCs w:val="44"/>
        </w:rPr>
        <w:t>月</w:t>
      </w:r>
    </w:p>
    <w:p w14:paraId="677E879D">
      <w:pPr>
        <w:pStyle w:val="8"/>
        <w:widowControl/>
        <w:snapToGrid w:val="0"/>
        <w:spacing w:before="0" w:after="0" w:line="360" w:lineRule="auto"/>
        <w:jc w:val="center"/>
        <w:rPr>
          <w:rFonts w:ascii="黑体" w:eastAsia="黑体" w:cs="黑体"/>
          <w:color w:val="000000"/>
          <w:sz w:val="44"/>
          <w:szCs w:val="44"/>
        </w:rPr>
      </w:pPr>
    </w:p>
    <w:p w14:paraId="6692C4AC">
      <w:pPr>
        <w:pStyle w:val="8"/>
        <w:widowControl/>
        <w:snapToGrid w:val="0"/>
        <w:spacing w:before="0" w:after="0" w:line="360" w:lineRule="auto"/>
        <w:jc w:val="center"/>
        <w:rPr>
          <w:rFonts w:hint="eastAsia" w:ascii="黑体" w:hAnsi="宋体" w:eastAsia="黑体" w:cs="黑体"/>
          <w:color w:val="000000"/>
          <w:sz w:val="48"/>
          <w:szCs w:val="48"/>
        </w:rPr>
      </w:pPr>
      <w:r>
        <w:rPr>
          <w:rFonts w:hint="eastAsia" w:ascii="黑体" w:hAnsi="宋体" w:eastAsia="黑体" w:cs="黑体"/>
          <w:color w:val="000000"/>
          <w:sz w:val="48"/>
          <w:szCs w:val="48"/>
        </w:rPr>
        <w:t>目  录</w:t>
      </w:r>
    </w:p>
    <w:p w14:paraId="4713F2DF">
      <w:pPr>
        <w:pStyle w:val="7"/>
        <w:widowControl/>
        <w:autoSpaceDN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第一部分 淮南市</w:t>
      </w:r>
      <w:r>
        <w:rPr>
          <w:rFonts w:hint="eastAsia" w:ascii="宋体" w:hAnsi="宋体" w:cs="宋体"/>
          <w:b/>
          <w:color w:val="000000"/>
          <w:sz w:val="36"/>
          <w:szCs w:val="36"/>
          <w:lang w:eastAsia="zh-CN"/>
        </w:rPr>
        <w:t>谢家集区文化旅游局</w:t>
      </w:r>
      <w:r>
        <w:rPr>
          <w:rFonts w:ascii="仿宋_GB2312" w:eastAsia="仿宋_GB2312" w:cs="仿宋_GB2312"/>
          <w:b/>
          <w:color w:val="000000"/>
          <w:sz w:val="36"/>
          <w:szCs w:val="36"/>
        </w:rPr>
        <w:t>概况</w:t>
      </w:r>
    </w:p>
    <w:p w14:paraId="02A56232">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一、部门职责</w:t>
      </w:r>
    </w:p>
    <w:p w14:paraId="541B8E75">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二、机构设置</w:t>
      </w:r>
    </w:p>
    <w:p w14:paraId="3C589EC2">
      <w:pPr>
        <w:pStyle w:val="7"/>
        <w:widowControl/>
        <w:autoSpaceDN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第二部分 淮南市</w:t>
      </w:r>
      <w:r>
        <w:rPr>
          <w:rFonts w:hint="eastAsia" w:ascii="宋体" w:hAnsi="宋体" w:cs="宋体"/>
          <w:b/>
          <w:color w:val="000000"/>
          <w:sz w:val="36"/>
          <w:szCs w:val="36"/>
          <w:lang w:eastAsia="zh-CN"/>
        </w:rPr>
        <w:t>谢家集区文化和旅游局</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3</w:t>
      </w:r>
      <w:r>
        <w:rPr>
          <w:rFonts w:ascii="仿宋_GB2312" w:eastAsia="仿宋_GB2312" w:cs="仿宋_GB2312"/>
          <w:b/>
          <w:color w:val="000000"/>
          <w:sz w:val="36"/>
          <w:szCs w:val="36"/>
        </w:rPr>
        <w:t>年度部门决算表</w:t>
      </w:r>
    </w:p>
    <w:p w14:paraId="2B839E29">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一、收入支出决算总表</w:t>
      </w:r>
    </w:p>
    <w:p w14:paraId="6249DEB0">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二、收入决算表</w:t>
      </w:r>
    </w:p>
    <w:p w14:paraId="3DC915A5">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三、支出决算表</w:t>
      </w:r>
    </w:p>
    <w:p w14:paraId="32126B6C">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四、财政拨款收入支出决算总表</w:t>
      </w:r>
    </w:p>
    <w:p w14:paraId="6FF4A1AE">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五、一般公共预算财政拨款支出决算表</w:t>
      </w:r>
    </w:p>
    <w:p w14:paraId="37B304DC">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六、一般公共预算财政拨款基本支出决算表</w:t>
      </w:r>
    </w:p>
    <w:p w14:paraId="1EF2CC63">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七、政府性基金预算财政拨款收入支出决算表</w:t>
      </w:r>
    </w:p>
    <w:p w14:paraId="6C54B319">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八、国有资本经营预算财政拨款支出决算表</w:t>
      </w:r>
    </w:p>
    <w:p w14:paraId="6E2AAF2B">
      <w:pPr>
        <w:pStyle w:val="7"/>
        <w:widowControl/>
        <w:autoSpaceDN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第三部分 淮南市</w:t>
      </w:r>
      <w:r>
        <w:rPr>
          <w:rFonts w:hint="eastAsia" w:ascii="宋体" w:hAnsi="宋体" w:cs="宋体"/>
          <w:b/>
          <w:color w:val="000000"/>
          <w:sz w:val="36"/>
          <w:szCs w:val="36"/>
          <w:lang w:eastAsia="zh-CN"/>
        </w:rPr>
        <w:t>谢家集区文化和旅游局</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3</w:t>
      </w:r>
      <w:r>
        <w:rPr>
          <w:rFonts w:ascii="仿宋_GB2312" w:eastAsia="仿宋_GB2312" w:cs="仿宋_GB2312"/>
          <w:b/>
          <w:color w:val="000000"/>
          <w:sz w:val="36"/>
          <w:szCs w:val="36"/>
        </w:rPr>
        <w:t>年度部门决算情况说明</w:t>
      </w:r>
    </w:p>
    <w:p w14:paraId="0B4C7EEC">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一、收入支出决算总体情况说明</w:t>
      </w:r>
    </w:p>
    <w:p w14:paraId="0CBDF38C">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二、收入决算情况说明</w:t>
      </w:r>
    </w:p>
    <w:p w14:paraId="358B4A60">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三、支出决算情况说明</w:t>
      </w:r>
    </w:p>
    <w:p w14:paraId="5C6F34B9">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四、财政拨款收入支出决算总体情况说明</w:t>
      </w:r>
    </w:p>
    <w:p w14:paraId="24758032">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五、一般公共预算财政拨款支出决算情况说明</w:t>
      </w:r>
    </w:p>
    <w:p w14:paraId="00EC9071">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六、一般公共预算财政拨款基本支出决算情况说明</w:t>
      </w:r>
    </w:p>
    <w:p w14:paraId="3C08E30E">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七、政府性基金财政拨款收入支出决算情况说明</w:t>
      </w:r>
    </w:p>
    <w:p w14:paraId="2FF5B706">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八、国有资本经营预算财政拨款支出决算情况说明</w:t>
      </w:r>
    </w:p>
    <w:p w14:paraId="5DE7FEDA">
      <w:pPr>
        <w:pStyle w:val="7"/>
        <w:widowControl/>
        <w:autoSpaceDN w:val="0"/>
        <w:spacing w:line="540" w:lineRule="exact"/>
        <w:rPr>
          <w:rFonts w:hint="eastAsia" w:ascii="宋体" w:hAnsi="宋体" w:cs="宋体"/>
          <w:color w:val="000000"/>
          <w:sz w:val="36"/>
          <w:szCs w:val="36"/>
        </w:rPr>
      </w:pPr>
      <w:r>
        <w:rPr>
          <w:rFonts w:hint="eastAsia" w:ascii="宋体" w:hAnsi="宋体" w:cs="宋体"/>
          <w:color w:val="000000"/>
          <w:sz w:val="36"/>
          <w:szCs w:val="36"/>
        </w:rPr>
        <w:t>九、其他重要事项情况说明</w:t>
      </w:r>
    </w:p>
    <w:p w14:paraId="19B444F9">
      <w:pPr>
        <w:pStyle w:val="7"/>
        <w:widowControl/>
        <w:autoSpaceDN w:val="0"/>
        <w:spacing w:line="510" w:lineRule="atLeast"/>
        <w:rPr>
          <w:rFonts w:hint="eastAsia" w:ascii="宋体" w:hAnsi="宋体" w:cs="宋体"/>
          <w:b/>
          <w:color w:val="000000"/>
          <w:sz w:val="36"/>
          <w:szCs w:val="36"/>
        </w:rPr>
      </w:pPr>
      <w:r>
        <w:rPr>
          <w:rFonts w:hint="eastAsia" w:ascii="宋体" w:hAnsi="宋体" w:cs="宋体"/>
          <w:b/>
          <w:color w:val="000000"/>
          <w:sz w:val="36"/>
          <w:szCs w:val="36"/>
        </w:rPr>
        <w:t>第四部分 名词解释</w:t>
      </w:r>
    </w:p>
    <w:p w14:paraId="3CC32FF3">
      <w:pPr>
        <w:pStyle w:val="7"/>
        <w:widowControl/>
        <w:jc w:val="center"/>
        <w:rPr>
          <w:rFonts w:hint="eastAsia" w:ascii="宋体" w:hAnsi="宋体" w:cs="宋体"/>
          <w:b/>
          <w:color w:val="000000"/>
          <w:sz w:val="36"/>
          <w:szCs w:val="36"/>
        </w:rPr>
      </w:pPr>
    </w:p>
    <w:p w14:paraId="71014582">
      <w:pPr>
        <w:pStyle w:val="7"/>
        <w:widowControl/>
        <w:jc w:val="center"/>
        <w:rPr>
          <w:rFonts w:hint="eastAsia" w:ascii="宋体" w:hAnsi="宋体" w:cs="宋体"/>
          <w:b/>
          <w:color w:val="000000"/>
          <w:sz w:val="36"/>
          <w:szCs w:val="36"/>
        </w:rPr>
      </w:pPr>
    </w:p>
    <w:p w14:paraId="68ED3874">
      <w:pPr>
        <w:pStyle w:val="7"/>
        <w:widowControl/>
        <w:jc w:val="center"/>
        <w:rPr>
          <w:rFonts w:hint="eastAsia" w:ascii="宋体" w:hAnsi="宋体" w:cs="宋体"/>
          <w:b/>
          <w:color w:val="000000"/>
          <w:sz w:val="36"/>
          <w:szCs w:val="36"/>
        </w:rPr>
      </w:pPr>
    </w:p>
    <w:p w14:paraId="2CF8FB31">
      <w:pPr>
        <w:pStyle w:val="7"/>
        <w:widowControl/>
        <w:jc w:val="center"/>
        <w:rPr>
          <w:rFonts w:hint="eastAsia" w:ascii="宋体" w:hAnsi="宋体" w:cs="宋体"/>
          <w:b/>
          <w:color w:val="000000"/>
          <w:sz w:val="36"/>
          <w:szCs w:val="36"/>
        </w:rPr>
      </w:pPr>
    </w:p>
    <w:p w14:paraId="42514261">
      <w:pPr>
        <w:pStyle w:val="7"/>
        <w:widowControl/>
        <w:jc w:val="center"/>
        <w:rPr>
          <w:rFonts w:hint="eastAsia" w:ascii="宋体" w:hAnsi="宋体" w:cs="宋体"/>
          <w:b/>
          <w:color w:val="000000"/>
          <w:sz w:val="36"/>
          <w:szCs w:val="36"/>
        </w:rPr>
      </w:pPr>
    </w:p>
    <w:p w14:paraId="53A4C61D">
      <w:pPr>
        <w:pStyle w:val="7"/>
        <w:widowControl/>
        <w:jc w:val="center"/>
        <w:rPr>
          <w:rFonts w:hint="eastAsia" w:ascii="宋体" w:hAnsi="宋体" w:cs="宋体"/>
          <w:b/>
          <w:color w:val="000000"/>
          <w:sz w:val="36"/>
          <w:szCs w:val="36"/>
        </w:rPr>
      </w:pPr>
    </w:p>
    <w:p w14:paraId="43054895">
      <w:pPr>
        <w:pStyle w:val="7"/>
        <w:widowControl/>
        <w:jc w:val="center"/>
        <w:rPr>
          <w:rFonts w:hint="eastAsia" w:ascii="宋体" w:hAnsi="宋体" w:cs="宋体"/>
          <w:b/>
          <w:color w:val="000000"/>
          <w:sz w:val="36"/>
          <w:szCs w:val="36"/>
        </w:rPr>
      </w:pPr>
    </w:p>
    <w:p w14:paraId="41993466">
      <w:pPr>
        <w:pStyle w:val="7"/>
        <w:widowControl/>
        <w:jc w:val="center"/>
        <w:rPr>
          <w:rFonts w:hint="eastAsia" w:ascii="宋体" w:hAnsi="宋体" w:cs="宋体"/>
          <w:b/>
          <w:color w:val="000000"/>
          <w:sz w:val="36"/>
          <w:szCs w:val="36"/>
        </w:rPr>
      </w:pPr>
    </w:p>
    <w:p w14:paraId="5D9A6B49">
      <w:pPr>
        <w:pStyle w:val="7"/>
        <w:widowControl/>
        <w:jc w:val="center"/>
        <w:rPr>
          <w:rFonts w:hint="eastAsia" w:ascii="宋体" w:hAnsi="宋体" w:cs="宋体"/>
          <w:b/>
          <w:color w:val="000000"/>
          <w:sz w:val="36"/>
          <w:szCs w:val="36"/>
        </w:rPr>
      </w:pPr>
    </w:p>
    <w:p w14:paraId="38C7AFF8">
      <w:pPr>
        <w:pStyle w:val="7"/>
        <w:widowControl/>
        <w:jc w:val="center"/>
        <w:rPr>
          <w:rFonts w:hint="eastAsia" w:ascii="宋体" w:hAnsi="宋体" w:cs="宋体"/>
          <w:b/>
          <w:color w:val="000000"/>
          <w:sz w:val="36"/>
          <w:szCs w:val="36"/>
        </w:rPr>
      </w:pPr>
    </w:p>
    <w:p w14:paraId="77AA66BB">
      <w:pPr>
        <w:pStyle w:val="7"/>
        <w:widowControl/>
        <w:jc w:val="center"/>
        <w:rPr>
          <w:rFonts w:hint="eastAsia" w:ascii="宋体" w:hAnsi="宋体" w:cs="宋体"/>
          <w:b/>
          <w:color w:val="000000"/>
          <w:sz w:val="36"/>
          <w:szCs w:val="36"/>
        </w:rPr>
      </w:pPr>
    </w:p>
    <w:p w14:paraId="1ACA3D25">
      <w:pPr>
        <w:pStyle w:val="7"/>
        <w:widowControl/>
        <w:jc w:val="center"/>
        <w:rPr>
          <w:rFonts w:hint="eastAsia" w:ascii="宋体" w:hAnsi="宋体" w:cs="宋体"/>
          <w:b/>
          <w:color w:val="000000"/>
          <w:sz w:val="36"/>
          <w:szCs w:val="36"/>
        </w:rPr>
      </w:pPr>
    </w:p>
    <w:p w14:paraId="3C9C6C78">
      <w:pPr>
        <w:pStyle w:val="7"/>
        <w:widowControl/>
        <w:jc w:val="center"/>
        <w:rPr>
          <w:rFonts w:hint="eastAsia" w:ascii="宋体" w:hAnsi="宋体" w:cs="宋体"/>
          <w:b/>
          <w:color w:val="000000"/>
          <w:sz w:val="36"/>
          <w:szCs w:val="36"/>
        </w:rPr>
      </w:pPr>
    </w:p>
    <w:p w14:paraId="2A37F011">
      <w:pPr>
        <w:pStyle w:val="7"/>
        <w:widowControl/>
        <w:jc w:val="center"/>
        <w:rPr>
          <w:rFonts w:hint="eastAsia" w:ascii="宋体" w:hAnsi="宋体" w:cs="宋体"/>
          <w:b/>
          <w:color w:val="000000"/>
          <w:sz w:val="36"/>
          <w:szCs w:val="36"/>
        </w:rPr>
      </w:pPr>
    </w:p>
    <w:p w14:paraId="265BCB11">
      <w:pPr>
        <w:pStyle w:val="7"/>
        <w:widowControl/>
        <w:jc w:val="center"/>
        <w:rPr>
          <w:rFonts w:hint="eastAsia" w:ascii="宋体" w:hAnsi="宋体" w:cs="宋体"/>
          <w:b/>
          <w:color w:val="000000"/>
          <w:sz w:val="36"/>
          <w:szCs w:val="36"/>
        </w:rPr>
      </w:pPr>
    </w:p>
    <w:p w14:paraId="25BB715E">
      <w:pPr>
        <w:pStyle w:val="7"/>
        <w:widowControl/>
        <w:jc w:val="center"/>
        <w:rPr>
          <w:rFonts w:hint="eastAsia" w:ascii="宋体" w:hAnsi="宋体" w:cs="宋体"/>
          <w:b/>
          <w:color w:val="000000"/>
          <w:sz w:val="36"/>
          <w:szCs w:val="36"/>
        </w:rPr>
      </w:pPr>
    </w:p>
    <w:p w14:paraId="65BD28C6">
      <w:pPr>
        <w:pStyle w:val="7"/>
        <w:widowControl/>
        <w:jc w:val="center"/>
        <w:rPr>
          <w:rFonts w:hint="eastAsia" w:ascii="宋体" w:hAnsi="宋体" w:cs="宋体"/>
          <w:b/>
          <w:color w:val="000000"/>
          <w:sz w:val="36"/>
          <w:szCs w:val="36"/>
        </w:rPr>
      </w:pPr>
    </w:p>
    <w:p w14:paraId="7CFA4BC6">
      <w:pPr>
        <w:pStyle w:val="7"/>
        <w:widowControl/>
        <w:jc w:val="center"/>
        <w:rPr>
          <w:rFonts w:hint="eastAsia" w:ascii="宋体" w:hAnsi="宋体" w:cs="宋体"/>
          <w:b/>
          <w:color w:val="000000"/>
          <w:sz w:val="36"/>
          <w:szCs w:val="36"/>
        </w:rPr>
      </w:pPr>
    </w:p>
    <w:p w14:paraId="68D3BF1F">
      <w:pPr>
        <w:pStyle w:val="7"/>
        <w:widowControl/>
        <w:jc w:val="center"/>
        <w:rPr>
          <w:rFonts w:hint="eastAsia" w:ascii="宋体" w:hAnsi="宋体" w:cs="宋体"/>
          <w:b/>
          <w:color w:val="000000"/>
          <w:sz w:val="36"/>
          <w:szCs w:val="36"/>
        </w:rPr>
      </w:pPr>
    </w:p>
    <w:p w14:paraId="67BEA754">
      <w:pPr>
        <w:pStyle w:val="7"/>
        <w:widowControl/>
        <w:jc w:val="center"/>
        <w:rPr>
          <w:rFonts w:hint="eastAsia" w:ascii="宋体" w:hAnsi="宋体" w:cs="宋体"/>
          <w:b/>
          <w:color w:val="000000"/>
          <w:sz w:val="36"/>
          <w:szCs w:val="36"/>
        </w:rPr>
      </w:pPr>
    </w:p>
    <w:p w14:paraId="4C0C8529">
      <w:pPr>
        <w:pStyle w:val="7"/>
        <w:widowControl/>
        <w:jc w:val="center"/>
        <w:rPr>
          <w:rFonts w:hint="eastAsia" w:ascii="宋体" w:hAnsi="宋体" w:cs="宋体"/>
          <w:b/>
          <w:color w:val="000000"/>
          <w:sz w:val="36"/>
          <w:szCs w:val="36"/>
        </w:rPr>
      </w:pPr>
    </w:p>
    <w:p w14:paraId="2AF786B5">
      <w:pPr>
        <w:pStyle w:val="7"/>
        <w:widowControl/>
        <w:jc w:val="center"/>
        <w:rPr>
          <w:rFonts w:hint="eastAsia" w:ascii="宋体" w:hAnsi="宋体" w:cs="宋体"/>
          <w:b/>
          <w:color w:val="000000"/>
          <w:sz w:val="36"/>
          <w:szCs w:val="36"/>
        </w:rPr>
      </w:pPr>
      <w:r>
        <w:rPr>
          <w:rFonts w:hint="eastAsia" w:ascii="宋体" w:hAnsi="宋体" w:cs="宋体"/>
          <w:b/>
          <w:color w:val="000000"/>
          <w:sz w:val="36"/>
          <w:szCs w:val="36"/>
        </w:rPr>
        <w:t>淮南市</w:t>
      </w:r>
      <w:r>
        <w:rPr>
          <w:rFonts w:hint="eastAsia" w:ascii="宋体" w:hAnsi="宋体" w:cs="宋体"/>
          <w:b/>
          <w:color w:val="000000"/>
          <w:sz w:val="36"/>
          <w:szCs w:val="36"/>
          <w:lang w:eastAsia="zh-CN"/>
        </w:rPr>
        <w:t>谢家集区文化和旅游局</w:t>
      </w:r>
      <w:r>
        <w:rPr>
          <w:rFonts w:ascii="仿宋_GB2312" w:eastAsia="仿宋_GB2312" w:cs="仿宋_GB2312"/>
          <w:b/>
          <w:color w:val="000000"/>
          <w:sz w:val="36"/>
          <w:szCs w:val="36"/>
        </w:rPr>
        <w:t>202</w:t>
      </w:r>
      <w:r>
        <w:rPr>
          <w:rFonts w:hint="eastAsia" w:ascii="仿宋_GB2312" w:eastAsia="仿宋_GB2312" w:cs="仿宋_GB2312"/>
          <w:b/>
          <w:color w:val="000000"/>
          <w:sz w:val="36"/>
          <w:szCs w:val="36"/>
          <w:lang w:val="en-US" w:eastAsia="zh-CN"/>
        </w:rPr>
        <w:t>3</w:t>
      </w:r>
      <w:r>
        <w:rPr>
          <w:rFonts w:ascii="仿宋_GB2312" w:eastAsia="仿宋_GB2312" w:cs="仿宋_GB2312"/>
          <w:b/>
          <w:color w:val="000000"/>
          <w:sz w:val="36"/>
          <w:szCs w:val="36"/>
        </w:rPr>
        <w:t>年</w:t>
      </w:r>
      <w:r>
        <w:rPr>
          <w:rFonts w:hint="eastAsia" w:ascii="宋体" w:hAnsi="宋体" w:cs="宋体"/>
          <w:b/>
          <w:color w:val="000000"/>
          <w:sz w:val="36"/>
          <w:szCs w:val="36"/>
        </w:rPr>
        <w:t>度部门决算</w:t>
      </w:r>
      <w:r>
        <w:rPr>
          <w:rFonts w:ascii="仿宋_GB2312" w:eastAsia="仿宋_GB2312" w:cs="仿宋_GB2312"/>
          <w:b/>
          <w:color w:val="000000"/>
          <w:sz w:val="36"/>
          <w:szCs w:val="36"/>
        </w:rPr>
        <w:t>情况</w:t>
      </w:r>
    </w:p>
    <w:p w14:paraId="79D66C45">
      <w:pPr>
        <w:pStyle w:val="7"/>
        <w:widowControl/>
        <w:ind w:firstLine="640"/>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黑体" w:hAnsi="宋体" w:eastAsia="黑体" w:cs="黑体"/>
          <w:color w:val="000000"/>
          <w:sz w:val="32"/>
          <w:szCs w:val="32"/>
        </w:rPr>
        <w:t xml:space="preserve"> </w:t>
      </w:r>
    </w:p>
    <w:p w14:paraId="5A0C72F2">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第一部分 淮南市谢家集区</w:t>
      </w:r>
      <w:r>
        <w:rPr>
          <w:rFonts w:hint="eastAsia" w:ascii="黑体" w:hAnsi="宋体" w:eastAsia="黑体" w:cs="黑体"/>
          <w:color w:val="000000"/>
          <w:sz w:val="32"/>
          <w:szCs w:val="32"/>
          <w:lang w:eastAsia="zh-CN"/>
        </w:rPr>
        <w:t>文化和旅游局</w:t>
      </w:r>
      <w:r>
        <w:rPr>
          <w:rFonts w:hint="eastAsia" w:ascii="黑体" w:hAnsi="宋体" w:eastAsia="黑体" w:cs="黑体"/>
          <w:color w:val="000000"/>
          <w:sz w:val="32"/>
          <w:szCs w:val="32"/>
        </w:rPr>
        <w:t>概况</w:t>
      </w:r>
    </w:p>
    <w:p w14:paraId="58278F4C">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一、部门职责</w:t>
      </w:r>
    </w:p>
    <w:p w14:paraId="4319D8A7">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（一）贯彻落实党的宣传、文化工作方针政策，贯彻执行国家文化文物、旅游、广播电影电视、网络视听节目服务管理、新闻出版政策措施、法律法规规章，</w:t>
      </w:r>
      <w:r>
        <w:rPr>
          <w:rFonts w:hint="eastAsia" w:ascii="仿宋_GB2312" w:hAnsi="仿宋_GB2312" w:eastAsia="仿宋_GB2312" w:cs="仿宋_GB2312"/>
          <w:color w:val="auto"/>
          <w:sz w:val="32"/>
          <w:szCs w:val="32"/>
          <w:lang w:eastAsia="zh-CN"/>
        </w:rPr>
        <w:t>贯彻落实市</w:t>
      </w:r>
      <w:r>
        <w:rPr>
          <w:rFonts w:hint="eastAsia" w:ascii="仿宋_GB2312" w:hAnsi="仿宋_GB2312" w:eastAsia="仿宋_GB2312" w:cs="仿宋_GB2312"/>
          <w:color w:val="auto"/>
          <w:sz w:val="32"/>
          <w:szCs w:val="32"/>
        </w:rPr>
        <w:t>文化、旅游、广播电影电视、网络视听节目服务管理政策措施。</w:t>
      </w:r>
    </w:p>
    <w:p w14:paraId="0F7E5A56">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（二）统筹规划</w:t>
      </w:r>
      <w:r>
        <w:rPr>
          <w:rFonts w:hint="eastAsia" w:ascii="仿宋_GB2312" w:hAnsi="仿宋_GB2312" w:eastAsia="仿宋_GB2312" w:cs="仿宋_GB2312"/>
          <w:color w:val="auto"/>
          <w:sz w:val="32"/>
          <w:szCs w:val="32"/>
          <w:lang w:eastAsia="zh-CN"/>
        </w:rPr>
        <w:t>全区</w:t>
      </w:r>
      <w:r>
        <w:rPr>
          <w:rFonts w:hint="eastAsia" w:ascii="仿宋_GB2312" w:hAnsi="仿宋_GB2312" w:eastAsia="仿宋_GB2312" w:cs="仿宋_GB2312"/>
          <w:color w:val="auto"/>
          <w:sz w:val="32"/>
          <w:szCs w:val="32"/>
        </w:rPr>
        <w:t>文化文物事业、文化产业、旅游业、广播电影电视、新闻出版事业、产业发展，拟订发展规划、管理政策，</w:t>
      </w:r>
      <w:r>
        <w:rPr>
          <w:rFonts w:hint="eastAsia" w:ascii="仿宋_GB2312" w:hAnsi="仿宋_GB2312" w:eastAsia="仿宋_GB2312" w:cs="仿宋_GB2312"/>
          <w:color w:val="auto"/>
          <w:sz w:val="32"/>
          <w:szCs w:val="32"/>
          <w:lang w:eastAsia="zh-CN"/>
        </w:rPr>
        <w:t>组织实施</w:t>
      </w:r>
      <w:r>
        <w:rPr>
          <w:rFonts w:hint="eastAsia" w:ascii="仿宋_GB2312" w:hAnsi="仿宋_GB2312" w:eastAsia="仿宋_GB2312" w:cs="仿宋_GB2312"/>
          <w:color w:val="auto"/>
          <w:sz w:val="32"/>
          <w:szCs w:val="32"/>
        </w:rPr>
        <w:t>相关行业标准，推进文化和旅游融合发展，推进文化、旅游、广播电影电视、网络视听节目服务管理领域体制机制改革，扶助贫困地区广播电视建设和发展。</w:t>
      </w:r>
    </w:p>
    <w:p w14:paraId="717DA303">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（三）管理全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性重大文化活动，指导重点文化设施建设，组织</w:t>
      </w:r>
      <w:r>
        <w:rPr>
          <w:rFonts w:hint="eastAsia" w:ascii="仿宋_GB2312" w:hAnsi="仿宋_GB2312" w:eastAsia="仿宋_GB2312" w:cs="仿宋_GB2312"/>
          <w:color w:val="auto"/>
          <w:sz w:val="32"/>
          <w:szCs w:val="32"/>
          <w:lang w:eastAsia="zh-CN"/>
        </w:rPr>
        <w:t>谢家集</w:t>
      </w:r>
      <w:r>
        <w:rPr>
          <w:rFonts w:hint="eastAsia" w:ascii="仿宋_GB2312" w:hAnsi="仿宋_GB2312" w:eastAsia="仿宋_GB2312" w:cs="仿宋_GB2312"/>
          <w:color w:val="auto"/>
          <w:sz w:val="32"/>
          <w:szCs w:val="32"/>
        </w:rPr>
        <w:t>旅游整体形象推广，促进文化产业和旅游产业对外合作和市场推广，制定旅游市场开发战略并组织实施，指导、推进全域旅游。</w:t>
      </w:r>
    </w:p>
    <w:p w14:paraId="091C53B3">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（四）指导、管理文艺事业，指导艺术创作生产，扶持体现社会主义核心价值观、具有导向性代表性示范性艺术作品，推动各门类艺术、各艺术品种发展，指导、协调全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性重大文化活动和艺术演出活动。</w:t>
      </w:r>
    </w:p>
    <w:p w14:paraId="42110E7D">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负责公共文化事业发展，推进公共文化服务体系建设和旅游公共服务建设，深入实施文化惠民工程，统筹推进基本公共文化服务标准化、均等化。指导、推进文化文物和旅游科技创新发展，推进文化文物和旅游行业信息化、标准化建设。</w:t>
      </w:r>
    </w:p>
    <w:p w14:paraId="6FC4B191">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（六）负责非物质文化遗产保护，推动非物质文化遗产的保护、传承、普及、弘扬和振兴。</w:t>
      </w:r>
    </w:p>
    <w:p w14:paraId="19C17F29">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（七）统筹规划文化产业和旅游产业，组织实施文化和旅游资源普查、挖掘、保护和利用工作，促进文化产业和旅游产业发展。</w:t>
      </w:r>
    </w:p>
    <w:p w14:paraId="5D54E99C">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（八）综合指导文物保护、抢救和利用等工作。</w:t>
      </w:r>
    </w:p>
    <w:p w14:paraId="03E723A5">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（九）指导文化和旅游市场发展，对文化和旅游市场经营进行行业监管，推进文化和旅游行业信用体系建设，依法规范文化和旅游市场秩序。</w:t>
      </w:r>
    </w:p>
    <w:p w14:paraId="32BB73F7">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配合上级</w:t>
      </w:r>
      <w:r>
        <w:rPr>
          <w:rFonts w:hint="eastAsia" w:ascii="仿宋_GB2312" w:hAnsi="仿宋_GB2312" w:eastAsia="仿宋_GB2312" w:cs="仿宋_GB2312"/>
          <w:color w:val="auto"/>
          <w:sz w:val="32"/>
          <w:szCs w:val="32"/>
        </w:rPr>
        <w:t>文化、旅游等市场综合执法，维护市场秩序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实施依法设定的行政许可。</w:t>
      </w:r>
    </w:p>
    <w:p w14:paraId="50776093">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（十一）指导、管理文化、旅游、广播电视对外及对港澳台交流、合作和宣传、推广工作，组织大型文化、旅游、广播电视对外及对港澳台交流活动，推动中华文化走出去。</w:t>
      </w:r>
    </w:p>
    <w:p w14:paraId="13C92DC2">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）负责管理全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电影行政事务，</w:t>
      </w:r>
      <w:r>
        <w:rPr>
          <w:rFonts w:hint="eastAsia" w:ascii="仿宋_GB2312" w:hAnsi="仿宋_GB2312" w:eastAsia="仿宋_GB2312" w:cs="仿宋_GB2312"/>
          <w:color w:val="auto"/>
          <w:sz w:val="32"/>
          <w:szCs w:val="32"/>
          <w:lang w:eastAsia="zh-CN"/>
        </w:rPr>
        <w:t>指导</w:t>
      </w:r>
      <w:r>
        <w:rPr>
          <w:rFonts w:hint="eastAsia" w:ascii="仿宋_GB2312" w:hAnsi="仿宋_GB2312" w:eastAsia="仿宋_GB2312" w:cs="仿宋_GB2312"/>
          <w:color w:val="auto"/>
          <w:sz w:val="32"/>
          <w:szCs w:val="32"/>
        </w:rPr>
        <w:t>电影放映工作，</w:t>
      </w:r>
      <w:r>
        <w:rPr>
          <w:rFonts w:hint="eastAsia" w:ascii="仿宋_GB2312" w:hAnsi="仿宋_GB2312" w:eastAsia="仿宋_GB2312" w:cs="仿宋_GB2312"/>
          <w:color w:val="auto"/>
          <w:sz w:val="32"/>
          <w:szCs w:val="32"/>
          <w:lang w:eastAsia="zh-CN"/>
        </w:rPr>
        <w:t>指导协调</w:t>
      </w:r>
      <w:r>
        <w:rPr>
          <w:rFonts w:hint="eastAsia" w:ascii="仿宋_GB2312" w:hAnsi="仿宋_GB2312" w:eastAsia="仿宋_GB2312" w:cs="仿宋_GB2312"/>
          <w:color w:val="auto"/>
          <w:sz w:val="32"/>
          <w:szCs w:val="32"/>
        </w:rPr>
        <w:t>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性重大电影活动。指导、协调广播电视全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性重大宣传活动，指导、实施广播电视节目评价工作。</w:t>
      </w:r>
    </w:p>
    <w:p w14:paraId="66762ED8">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）负责推进全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广播电视与新媒体新技术新业态融合发展，推进广电网与电信网、互联网三网融合。</w:t>
      </w:r>
      <w:r>
        <w:rPr>
          <w:rFonts w:hint="eastAsia" w:ascii="仿宋_GB2312" w:hAnsi="仿宋_GB2312" w:eastAsia="仿宋_GB2312" w:cs="仿宋_GB2312"/>
          <w:color w:val="auto"/>
          <w:sz w:val="32"/>
          <w:szCs w:val="32"/>
          <w:lang w:eastAsia="zh-CN"/>
        </w:rPr>
        <w:t>贯彻落实市</w:t>
      </w:r>
      <w:r>
        <w:rPr>
          <w:rFonts w:hint="eastAsia" w:ascii="仿宋_GB2312" w:hAnsi="仿宋_GB2312" w:eastAsia="仿宋_GB2312" w:cs="仿宋_GB2312"/>
          <w:color w:val="auto"/>
          <w:sz w:val="32"/>
          <w:szCs w:val="32"/>
        </w:rPr>
        <w:t>广播电视科技发展政策、规划和行业技术标准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指导、推进应急广播体系建设。指导、协调广播电视系统安全和保卫工作。</w:t>
      </w:r>
    </w:p>
    <w:p w14:paraId="46FF250E">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配合上级</w:t>
      </w:r>
      <w:r>
        <w:rPr>
          <w:rFonts w:hint="eastAsia" w:ascii="仿宋_GB2312" w:hAnsi="仿宋_GB2312" w:eastAsia="仿宋_GB2312" w:cs="仿宋_GB2312"/>
          <w:color w:val="auto"/>
          <w:sz w:val="32"/>
          <w:szCs w:val="32"/>
        </w:rPr>
        <w:t>管理新闻出版行政事务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出版物内容和质量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印刷业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著作权、出版物进出口等工作。</w:t>
      </w:r>
    </w:p>
    <w:p w14:paraId="686331DE">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）指导全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文化文物、旅游、广播电视、网络视听等行业人才队伍建设。</w:t>
      </w:r>
    </w:p>
    <w:p w14:paraId="745B9BEA">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）负责</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委、</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政府和</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委编委明确的安全生产职责。</w:t>
      </w:r>
    </w:p>
    <w:p w14:paraId="56ECCEB2">
      <w:pPr>
        <w:numPr>
          <w:ilvl w:val="0"/>
          <w:numId w:val="0"/>
        </w:num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委、</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政府交办的其他任务。</w:t>
      </w:r>
    </w:p>
    <w:p w14:paraId="02AFCB80">
      <w:pPr>
        <w:pStyle w:val="7"/>
        <w:widowControl/>
        <w:ind w:firstLine="640"/>
        <w:rPr>
          <w:rFonts w:hint="eastAsia" w:ascii="黑体" w:hAnsi="宋体" w:eastAsia="黑体" w:cs="黑体"/>
          <w:color w:val="000000"/>
          <w:sz w:val="32"/>
          <w:szCs w:val="32"/>
        </w:rPr>
      </w:pPr>
    </w:p>
    <w:p w14:paraId="3F2F0916">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二、机构设置</w:t>
      </w:r>
    </w:p>
    <w:p w14:paraId="62165001">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从决算</w:t>
      </w:r>
      <w:r>
        <w:rPr>
          <w:rFonts w:hint="eastAsia" w:ascii="仿宋_GB2312" w:eastAsia="仿宋_GB2312" w:cs="仿宋_GB2312"/>
          <w:color w:val="000000"/>
          <w:sz w:val="32"/>
          <w:szCs w:val="32"/>
        </w:rPr>
        <w:t>单位</w:t>
      </w:r>
      <w:r>
        <w:rPr>
          <w:rFonts w:ascii="仿宋_GB2312" w:eastAsia="仿宋_GB2312" w:cs="仿宋_GB2312"/>
          <w:color w:val="000000"/>
          <w:sz w:val="32"/>
          <w:szCs w:val="32"/>
        </w:rPr>
        <w:t>构成看，</w:t>
      </w:r>
      <w:r>
        <w:rPr>
          <w:rFonts w:hint="eastAsia" w:ascii="仿宋_GB2312" w:hAnsi="仿宋" w:eastAsia="仿宋_GB2312" w:cs="仿宋_GB2312"/>
          <w:kern w:val="2"/>
          <w:sz w:val="32"/>
          <w:szCs w:val="32"/>
          <w:lang w:val="en-US" w:eastAsia="zh-CN" w:bidi="ar"/>
        </w:rPr>
        <w:t>淮南市文化和旅游局单位2023年度部门决算包括：单位本级决算和所属事业单位决算，与预算比较</w:t>
      </w:r>
      <w:r>
        <w:rPr>
          <w:rFonts w:hint="eastAsia" w:ascii="楷体_GB2312" w:hAnsi="仿宋" w:eastAsia="楷体_GB2312" w:cs="楷体_GB2312"/>
          <w:kern w:val="2"/>
          <w:sz w:val="32"/>
          <w:szCs w:val="32"/>
          <w:lang w:val="en-US" w:eastAsia="zh-CN" w:bidi="ar"/>
        </w:rPr>
        <w:t>，</w:t>
      </w:r>
      <w:r>
        <w:rPr>
          <w:rFonts w:hint="eastAsia" w:ascii="仿宋_GB2312" w:hAnsi="仿宋" w:eastAsia="仿宋_GB2312" w:cs="仿宋_GB2312"/>
          <w:kern w:val="2"/>
          <w:sz w:val="32"/>
          <w:szCs w:val="32"/>
          <w:lang w:val="en-US" w:eastAsia="zh-CN" w:bidi="ar"/>
        </w:rPr>
        <w:t>增加０户</w:t>
      </w:r>
      <w:r>
        <w:rPr>
          <w:rFonts w:ascii="仿宋_GB2312" w:eastAsia="仿宋_GB2312" w:cs="仿宋_GB2312"/>
          <w:color w:val="000000"/>
          <w:sz w:val="32"/>
          <w:szCs w:val="32"/>
        </w:rPr>
        <w:t>。</w:t>
      </w:r>
    </w:p>
    <w:p w14:paraId="5875238D">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纳入淮南市</w:t>
      </w:r>
      <w:r>
        <w:rPr>
          <w:rFonts w:hint="eastAsia" w:ascii="楷体_GB2312" w:eastAsia="楷体_GB2312" w:cs="楷体_GB2312"/>
          <w:color w:val="000000"/>
          <w:sz w:val="32"/>
          <w:szCs w:val="32"/>
          <w:lang w:eastAsia="zh-CN"/>
        </w:rPr>
        <w:t>谢家集区文化和旅游局</w:t>
      </w: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年度部门决算编制范围的二级单位共</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个，详细情况见下表：</w:t>
      </w:r>
    </w:p>
    <w:tbl>
      <w:tblPr>
        <w:tblStyle w:val="3"/>
        <w:tblW w:w="0" w:type="auto"/>
        <w:jc w:val="center"/>
        <w:tblLayout w:type="fixed"/>
        <w:tblCellMar>
          <w:top w:w="0" w:type="dxa"/>
          <w:left w:w="0" w:type="dxa"/>
          <w:bottom w:w="0" w:type="dxa"/>
          <w:right w:w="0" w:type="dxa"/>
        </w:tblCellMar>
      </w:tblPr>
      <w:tblGrid>
        <w:gridCol w:w="1389"/>
        <w:gridCol w:w="5837"/>
      </w:tblGrid>
      <w:tr w14:paraId="4ABC7DCC">
        <w:tblPrEx>
          <w:tblCellMar>
            <w:top w:w="0" w:type="dxa"/>
            <w:left w:w="0" w:type="dxa"/>
            <w:bottom w:w="0" w:type="dxa"/>
            <w:right w:w="0" w:type="dxa"/>
          </w:tblCellMar>
        </w:tblPrEx>
        <w:trPr>
          <w:trHeight w:val="397" w:hRule="atLeast"/>
          <w:jc w:val="center"/>
        </w:trPr>
        <w:tc>
          <w:tcPr>
            <w:tcW w:w="1389" w:type="dxa"/>
            <w:tcBorders>
              <w:top w:val="single" w:color="000000" w:sz="8" w:space="0"/>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284814B0">
            <w:pPr>
              <w:pStyle w:val="7"/>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序号</w:t>
            </w:r>
          </w:p>
        </w:tc>
        <w:tc>
          <w:tcPr>
            <w:tcW w:w="5837" w:type="dxa"/>
            <w:tcBorders>
              <w:top w:val="single" w:color="000000" w:sz="8" w:space="0"/>
              <w:left w:val="nil"/>
              <w:bottom w:val="single" w:color="000000" w:sz="8" w:space="0"/>
              <w:right w:val="single" w:color="000000" w:sz="8" w:space="0"/>
            </w:tcBorders>
            <w:shd w:val="clear" w:color="auto" w:fill="FFFFFF"/>
            <w:noWrap w:val="0"/>
            <w:tcMar>
              <w:left w:w="108" w:type="dxa"/>
              <w:right w:w="108" w:type="dxa"/>
            </w:tcMar>
            <w:vAlign w:val="center"/>
          </w:tcPr>
          <w:p w14:paraId="098A2A48">
            <w:pPr>
              <w:pStyle w:val="7"/>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单位名称</w:t>
            </w:r>
          </w:p>
        </w:tc>
      </w:tr>
      <w:tr w14:paraId="6CB0B50C">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27096DA5">
            <w:pPr>
              <w:pStyle w:val="7"/>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1</w:t>
            </w:r>
          </w:p>
        </w:tc>
        <w:tc>
          <w:tcPr>
            <w:tcW w:w="5837" w:type="dxa"/>
            <w:tcBorders>
              <w:top w:val="nil"/>
              <w:left w:val="nil"/>
              <w:bottom w:val="single" w:color="000000" w:sz="8" w:space="0"/>
              <w:right w:val="single" w:color="000000" w:sz="8" w:space="0"/>
            </w:tcBorders>
            <w:shd w:val="clear" w:color="auto" w:fill="FFFFFF"/>
            <w:noWrap w:val="0"/>
            <w:tcMar>
              <w:left w:w="108" w:type="dxa"/>
              <w:right w:w="108" w:type="dxa"/>
            </w:tcMar>
            <w:vAlign w:val="center"/>
          </w:tcPr>
          <w:p w14:paraId="77FE55E6">
            <w:pPr>
              <w:pStyle w:val="7"/>
              <w:keepNext w:val="0"/>
              <w:keepLines w:val="0"/>
              <w:widowControl/>
              <w:suppressLineNumbers w:val="0"/>
              <w:rPr>
                <w:rFonts w:hint="eastAsia" w:ascii="宋体" w:hAnsi="宋体" w:cs="宋体"/>
                <w:color w:val="000000"/>
                <w:sz w:val="24"/>
                <w:szCs w:val="24"/>
              </w:rPr>
            </w:pPr>
            <w:r>
              <w:rPr>
                <w:rFonts w:hint="eastAsia" w:ascii="宋体" w:hAnsi="宋体" w:cs="宋体"/>
                <w:color w:val="000000"/>
                <w:sz w:val="24"/>
                <w:szCs w:val="24"/>
              </w:rPr>
              <w:t>淮南市谢家集区</w:t>
            </w:r>
            <w:r>
              <w:rPr>
                <w:rFonts w:hint="eastAsia" w:ascii="宋体" w:hAnsi="宋体" w:cs="宋体"/>
                <w:color w:val="000000"/>
                <w:sz w:val="24"/>
                <w:szCs w:val="24"/>
                <w:lang w:eastAsia="zh-CN"/>
              </w:rPr>
              <w:t>文化旅游局</w:t>
            </w:r>
            <w:r>
              <w:rPr>
                <w:rFonts w:ascii="仿宋_GB2312" w:eastAsia="仿宋_GB2312" w:cs="仿宋_GB2312"/>
                <w:color w:val="000000"/>
                <w:sz w:val="24"/>
                <w:szCs w:val="24"/>
              </w:rPr>
              <w:t>本级</w:t>
            </w:r>
          </w:p>
        </w:tc>
      </w:tr>
      <w:tr w14:paraId="62393498">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5B2D3AE6">
            <w:pPr>
              <w:pStyle w:val="7"/>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2</w:t>
            </w:r>
          </w:p>
        </w:tc>
        <w:tc>
          <w:tcPr>
            <w:tcW w:w="5837" w:type="dxa"/>
            <w:tcBorders>
              <w:top w:val="nil"/>
              <w:left w:val="nil"/>
              <w:bottom w:val="single" w:color="000000" w:sz="8" w:space="0"/>
              <w:right w:val="single" w:color="000000" w:sz="8" w:space="0"/>
            </w:tcBorders>
            <w:shd w:val="clear" w:color="auto" w:fill="FFFFFF"/>
            <w:noWrap w:val="0"/>
            <w:tcMar>
              <w:left w:w="108" w:type="dxa"/>
              <w:right w:w="108" w:type="dxa"/>
            </w:tcMar>
            <w:vAlign w:val="center"/>
          </w:tcPr>
          <w:p w14:paraId="0F1D6675">
            <w:pPr>
              <w:pStyle w:val="7"/>
              <w:keepNext w:val="0"/>
              <w:keepLines w:val="0"/>
              <w:widowControl/>
              <w:suppressLineNumbers w:val="0"/>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淮南市谢家集区文化馆</w:t>
            </w:r>
          </w:p>
        </w:tc>
      </w:tr>
    </w:tbl>
    <w:p w14:paraId="31165D27">
      <w:pPr>
        <w:pStyle w:val="7"/>
        <w:widowControl/>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01221823">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第二部分 淮南市谢家集区</w:t>
      </w:r>
      <w:r>
        <w:rPr>
          <w:rFonts w:hint="eastAsia" w:ascii="黑体" w:hAnsi="宋体" w:eastAsia="黑体" w:cs="黑体"/>
          <w:color w:val="000000"/>
          <w:sz w:val="32"/>
          <w:szCs w:val="32"/>
          <w:lang w:eastAsia="zh-CN"/>
        </w:rPr>
        <w:t>文化和旅游局</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年度部门决算表</w:t>
      </w:r>
    </w:p>
    <w:p w14:paraId="54740B09">
      <w:pPr>
        <w:pStyle w:val="7"/>
        <w:widowControl/>
        <w:jc w:val="center"/>
        <w:rPr>
          <w:rFonts w:hint="eastAsia" w:ascii="黑体" w:hAnsi="宋体" w:eastAsia="黑体" w:cs="黑体"/>
          <w:color w:val="000000"/>
          <w:sz w:val="32"/>
          <w:szCs w:val="32"/>
        </w:rPr>
        <w:sectPr>
          <w:pgSz w:w="11906" w:h="16838"/>
          <w:pgMar w:top="1440" w:right="1800" w:bottom="1440" w:left="1800" w:header="851" w:footer="992" w:gutter="0"/>
          <w:cols w:space="720" w:num="1"/>
          <w:docGrid w:type="lines" w:linePitch="312" w:charSpace="0"/>
        </w:sectPr>
      </w:pPr>
      <w:r>
        <w:rPr>
          <w:rFonts w:hint="eastAsia" w:ascii="黑体" w:hAnsi="宋体" w:eastAsia="黑体" w:cs="黑体"/>
          <w:color w:val="000000"/>
          <w:sz w:val="32"/>
          <w:szCs w:val="32"/>
        </w:rPr>
        <w:t>一、收入支出决算总表</w:t>
      </w:r>
    </w:p>
    <w:p w14:paraId="4AA1A2B0">
      <w:pPr>
        <w:pStyle w:val="7"/>
        <w:widowControl/>
        <w:jc w:val="center"/>
        <w:rPr>
          <w:rFonts w:hint="eastAsia" w:ascii="黑体" w:hAnsi="宋体" w:eastAsia="黑体" w:cs="黑体"/>
          <w:color w:val="000000"/>
          <w:sz w:val="32"/>
          <w:szCs w:val="32"/>
        </w:rPr>
      </w:pPr>
    </w:p>
    <w:tbl>
      <w:tblPr>
        <w:tblStyle w:val="3"/>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65"/>
        <w:gridCol w:w="688"/>
        <w:gridCol w:w="2145"/>
        <w:gridCol w:w="4014"/>
        <w:gridCol w:w="688"/>
        <w:gridCol w:w="2165"/>
      </w:tblGrid>
      <w:tr w14:paraId="602A1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6" w:type="pct"/>
            <w:tcBorders>
              <w:top w:val="nil"/>
              <w:left w:val="nil"/>
              <w:bottom w:val="nil"/>
              <w:right w:val="nil"/>
            </w:tcBorders>
            <w:shd w:val="clear" w:color="auto" w:fill="auto"/>
            <w:noWrap/>
            <w:vAlign w:val="center"/>
          </w:tcPr>
          <w:p w14:paraId="1E0A959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43" w:type="pct"/>
            <w:tcBorders>
              <w:top w:val="nil"/>
              <w:left w:val="nil"/>
              <w:bottom w:val="nil"/>
              <w:right w:val="nil"/>
            </w:tcBorders>
            <w:shd w:val="clear" w:color="auto" w:fill="auto"/>
            <w:noWrap/>
            <w:vAlign w:val="center"/>
          </w:tcPr>
          <w:p w14:paraId="3A33E39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56" w:type="pct"/>
            <w:tcBorders>
              <w:top w:val="nil"/>
              <w:left w:val="nil"/>
              <w:bottom w:val="nil"/>
              <w:right w:val="nil"/>
            </w:tcBorders>
            <w:shd w:val="clear" w:color="auto" w:fill="auto"/>
            <w:noWrap/>
            <w:vAlign w:val="center"/>
          </w:tcPr>
          <w:p w14:paraId="39C12E0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7" w:type="pct"/>
            <w:tcBorders>
              <w:top w:val="nil"/>
              <w:left w:val="nil"/>
              <w:bottom w:val="nil"/>
              <w:right w:val="nil"/>
            </w:tcBorders>
            <w:shd w:val="clear" w:color="auto" w:fill="auto"/>
            <w:noWrap/>
            <w:vAlign w:val="center"/>
          </w:tcPr>
          <w:p w14:paraId="1CC10C8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43" w:type="pct"/>
            <w:tcBorders>
              <w:top w:val="nil"/>
              <w:left w:val="nil"/>
              <w:bottom w:val="nil"/>
              <w:right w:val="nil"/>
            </w:tcBorders>
            <w:shd w:val="clear" w:color="auto" w:fill="auto"/>
            <w:noWrap/>
            <w:vAlign w:val="center"/>
          </w:tcPr>
          <w:p w14:paraId="5109BF8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61" w:type="pct"/>
            <w:tcBorders>
              <w:top w:val="nil"/>
              <w:left w:val="nil"/>
              <w:bottom w:val="nil"/>
              <w:right w:val="nil"/>
            </w:tcBorders>
            <w:shd w:val="clear" w:color="auto" w:fill="auto"/>
            <w:noWrap/>
            <w:vAlign w:val="bottom"/>
          </w:tcPr>
          <w:p w14:paraId="26550897">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公开01表</w:t>
            </w:r>
          </w:p>
        </w:tc>
      </w:tr>
      <w:tr w14:paraId="4A8A7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6" w:type="pct"/>
            <w:tcBorders>
              <w:top w:val="nil"/>
              <w:left w:val="nil"/>
              <w:bottom w:val="nil"/>
              <w:right w:val="nil"/>
            </w:tcBorders>
            <w:shd w:val="clear" w:color="auto" w:fill="auto"/>
            <w:noWrap/>
            <w:vAlign w:val="bottom"/>
          </w:tcPr>
          <w:p w14:paraId="7BC806BD">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部门：淮南市谢家集区文化和旅游局（本级）</w:t>
            </w:r>
          </w:p>
        </w:tc>
        <w:tc>
          <w:tcPr>
            <w:tcW w:w="243" w:type="pct"/>
            <w:tcBorders>
              <w:top w:val="nil"/>
              <w:left w:val="nil"/>
              <w:bottom w:val="nil"/>
              <w:right w:val="nil"/>
            </w:tcBorders>
            <w:shd w:val="clear" w:color="auto" w:fill="auto"/>
            <w:noWrap/>
            <w:vAlign w:val="center"/>
          </w:tcPr>
          <w:p w14:paraId="5251B92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56" w:type="pct"/>
            <w:tcBorders>
              <w:top w:val="nil"/>
              <w:left w:val="nil"/>
              <w:bottom w:val="nil"/>
              <w:right w:val="nil"/>
            </w:tcBorders>
            <w:shd w:val="clear" w:color="auto" w:fill="auto"/>
            <w:noWrap/>
            <w:vAlign w:val="center"/>
          </w:tcPr>
          <w:p w14:paraId="61DE159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17" w:type="pct"/>
            <w:tcBorders>
              <w:top w:val="nil"/>
              <w:left w:val="nil"/>
              <w:bottom w:val="nil"/>
              <w:right w:val="nil"/>
            </w:tcBorders>
            <w:shd w:val="clear" w:color="auto" w:fill="auto"/>
            <w:noWrap/>
            <w:vAlign w:val="center"/>
          </w:tcPr>
          <w:p w14:paraId="0D0BEB3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43" w:type="pct"/>
            <w:tcBorders>
              <w:top w:val="nil"/>
              <w:left w:val="nil"/>
              <w:bottom w:val="nil"/>
              <w:right w:val="nil"/>
            </w:tcBorders>
            <w:shd w:val="clear" w:color="auto" w:fill="auto"/>
            <w:noWrap/>
            <w:vAlign w:val="center"/>
          </w:tcPr>
          <w:p w14:paraId="3395F86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61" w:type="pct"/>
            <w:tcBorders>
              <w:top w:val="nil"/>
              <w:left w:val="nil"/>
              <w:bottom w:val="nil"/>
              <w:right w:val="nil"/>
            </w:tcBorders>
            <w:shd w:val="clear" w:color="auto" w:fill="auto"/>
            <w:noWrap/>
            <w:vAlign w:val="bottom"/>
          </w:tcPr>
          <w:p w14:paraId="5BD8E58B">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2A885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576"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B10B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242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6DC86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2D4DE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D9A3D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3ED0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7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9ED2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14117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D20E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761" w:type="pct"/>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2E8246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4B1C8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B85F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1879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7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76C39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CFFC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DE8D8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761" w:type="pct"/>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0ACC0C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31D7C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60EB8F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98FB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63CEDB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1,730,355.48</w:t>
            </w: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3D1F9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E3F6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CE2363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2FF5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D56A0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C3464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D0F2DB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0AE41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CA91F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982ECD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FB07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DF930B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7652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141BC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93581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52AA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399453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7B1B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9925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15B0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A4651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7A17C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71ABE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6E6AC7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84EB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31F30E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B2A8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DCE7F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440DB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C372E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E8E22C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60AB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E71DAF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9B2F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928EE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18EB5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072F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D6A181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1BD5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1632F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2BE3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59C287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4BE8C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459D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A181B3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1,422,489.53</w:t>
            </w:r>
          </w:p>
        </w:tc>
      </w:tr>
      <w:tr w14:paraId="3A8B9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20AD6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0A411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817DB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87,000.00</w:t>
            </w: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4868A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2AF3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FE9850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227,391.71</w:t>
            </w:r>
          </w:p>
        </w:tc>
      </w:tr>
      <w:tr w14:paraId="53D20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18693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CC91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D5557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CFD9A5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3920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A41B88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485E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4FC4E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D70EE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F989F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BF08D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2540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24151F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0A1B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88834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53B0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96DEA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E4639D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7213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5C0425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142D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8BED6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43A5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F38A4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E43B5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6FDB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B24ED2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7D45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6FBA97">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501A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D3BA6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E4F52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89AF0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75CCB6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E633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0B2739">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1E3E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0BC96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18070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56C6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4EE0B5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A776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C447C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62D2C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47A7E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7ABF6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8D008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972051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5D12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6A1ADB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114B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C3461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D2B18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15C1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B7F5E6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5357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8048B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5CBE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5B1A6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A30CC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02C5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683F4D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93DC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B68E70">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5D01F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CD477B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F8E8E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BB65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A95D03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6708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E9686C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9DE20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39721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95383F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DC62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6C8F00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80,474.24</w:t>
            </w:r>
          </w:p>
        </w:tc>
      </w:tr>
      <w:tr w14:paraId="18546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BA82F2">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518E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4823A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F2272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8FCD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8825EE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F4BC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528A1E">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E509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B36C6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98734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8E34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3CA3B9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B9A1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2CF09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59E1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ADFC8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7C6A6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B29B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8461F2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FF48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BCEA9B">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6123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E8101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8C81B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8AAD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EF7721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85,552.00</w:t>
            </w:r>
          </w:p>
        </w:tc>
      </w:tr>
      <w:tr w14:paraId="778D7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6F0B4D4">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1E6C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69AD23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246C2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81744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4BBDEF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DD73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344A2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633E5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CD8308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E396C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426A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ED456E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754B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70E8D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3EBD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F62BF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761C4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DFDAB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2A6B71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68F8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838ED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6FF61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1EA91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1,817,355.48</w:t>
            </w: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9B5E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4D68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536825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1,815,907.48</w:t>
            </w:r>
          </w:p>
        </w:tc>
      </w:tr>
      <w:tr w14:paraId="071CB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87146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使用非财政拨款结余（含专用结余）</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565D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43AC8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B1B2B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268BF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DF414A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1743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07D4D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CEED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16B5F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14,161.74</w:t>
            </w: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13D05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7DD0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4D5052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15,609.74</w:t>
            </w:r>
          </w:p>
        </w:tc>
      </w:tr>
      <w:tr w14:paraId="129B6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871BD53">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381CC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7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7BDBA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CEB83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4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8D02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61"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662B9E9">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1AAC5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6"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75876C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243"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4AF182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56" w:type="pct"/>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1B7013E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1,831,517.22</w:t>
            </w:r>
          </w:p>
        </w:tc>
        <w:tc>
          <w:tcPr>
            <w:tcW w:w="1417"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6C2C4B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243"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12892F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761" w:type="pct"/>
            <w:tcBorders>
              <w:top w:val="single" w:color="D4D4D4" w:sz="4" w:space="0"/>
              <w:left w:val="single" w:color="D4D4D4" w:sz="4" w:space="0"/>
              <w:bottom w:val="single" w:color="D4D4D4" w:sz="12" w:space="0"/>
              <w:right w:val="single" w:color="D4D4D4" w:sz="12" w:space="0"/>
            </w:tcBorders>
            <w:shd w:val="clear" w:color="auto" w:fill="FFFFFF"/>
            <w:noWrap/>
            <w:vAlign w:val="center"/>
          </w:tcPr>
          <w:p w14:paraId="3BA0737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1,831,517.22</w:t>
            </w:r>
          </w:p>
        </w:tc>
      </w:tr>
      <w:tr w14:paraId="32B60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000" w:type="pct"/>
            <w:gridSpan w:val="6"/>
            <w:tcBorders>
              <w:top w:val="single" w:color="D4D4D4" w:sz="12" w:space="0"/>
              <w:left w:val="nil"/>
              <w:bottom w:val="nil"/>
              <w:right w:val="nil"/>
            </w:tcBorders>
            <w:shd w:val="clear" w:color="auto" w:fill="FFFFFF"/>
            <w:vAlign w:val="center"/>
          </w:tcPr>
          <w:p w14:paraId="583A92B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注:本表反映单位本年度的总收支和年末结转结余情况;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本套报表金额单位转换成万元时，因四舍五入可能存在尾数误差。</w:t>
            </w:r>
          </w:p>
        </w:tc>
      </w:tr>
    </w:tbl>
    <w:p w14:paraId="71815679">
      <w:pPr>
        <w:pStyle w:val="7"/>
        <w:widowControl/>
        <w:ind w:firstLine="640"/>
        <w:jc w:val="center"/>
        <w:rPr>
          <w:rFonts w:hint="eastAsia" w:ascii="黑体" w:hAnsi="宋体" w:eastAsia="黑体" w:cs="黑体"/>
          <w:color w:val="000000"/>
          <w:sz w:val="32"/>
          <w:szCs w:val="32"/>
          <w:lang w:val="en-US" w:eastAsia="zh-CN"/>
        </w:rPr>
      </w:pPr>
    </w:p>
    <w:p w14:paraId="6FE02225">
      <w:pPr>
        <w:pStyle w:val="7"/>
        <w:widowControl/>
        <w:ind w:firstLine="640"/>
        <w:jc w:val="center"/>
        <w:rPr>
          <w:rFonts w:hint="default" w:ascii="黑体" w:hAnsi="宋体" w:eastAsia="黑体" w:cs="黑体"/>
          <w:color w:val="000000"/>
          <w:sz w:val="32"/>
          <w:szCs w:val="32"/>
          <w:lang w:val="en-US" w:eastAsia="zh-CN"/>
        </w:rPr>
      </w:pPr>
      <w:r>
        <w:rPr>
          <w:rFonts w:hint="eastAsia" w:ascii="黑体" w:hAnsi="宋体" w:eastAsia="黑体" w:cs="黑体"/>
          <w:color w:val="000000"/>
          <w:sz w:val="32"/>
          <w:szCs w:val="32"/>
          <w:lang w:val="en-US" w:eastAsia="zh-CN"/>
        </w:rPr>
        <w:t>二、收入决算表</w:t>
      </w: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96"/>
        <w:gridCol w:w="413"/>
        <w:gridCol w:w="413"/>
        <w:gridCol w:w="3367"/>
        <w:gridCol w:w="1407"/>
        <w:gridCol w:w="1407"/>
        <w:gridCol w:w="413"/>
        <w:gridCol w:w="413"/>
        <w:gridCol w:w="610"/>
        <w:gridCol w:w="413"/>
        <w:gridCol w:w="413"/>
        <w:gridCol w:w="1109"/>
      </w:tblGrid>
      <w:tr w14:paraId="79A6B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75" w:type="pct"/>
            <w:tcBorders>
              <w:top w:val="nil"/>
              <w:left w:val="nil"/>
              <w:bottom w:val="nil"/>
              <w:right w:val="nil"/>
            </w:tcBorders>
            <w:shd w:val="clear" w:color="auto" w:fill="auto"/>
            <w:noWrap/>
            <w:vAlign w:val="center"/>
          </w:tcPr>
          <w:p w14:paraId="4AF0B40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3BA940D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25856ED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32" w:type="pct"/>
            <w:tcBorders>
              <w:top w:val="nil"/>
              <w:left w:val="nil"/>
              <w:bottom w:val="nil"/>
              <w:right w:val="nil"/>
            </w:tcBorders>
            <w:shd w:val="clear" w:color="auto" w:fill="auto"/>
            <w:noWrap/>
            <w:vAlign w:val="center"/>
          </w:tcPr>
          <w:p w14:paraId="5AEE6A6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75" w:type="pct"/>
            <w:tcBorders>
              <w:top w:val="nil"/>
              <w:left w:val="nil"/>
              <w:bottom w:val="nil"/>
              <w:right w:val="nil"/>
            </w:tcBorders>
            <w:shd w:val="clear" w:color="auto" w:fill="auto"/>
            <w:noWrap/>
            <w:vAlign w:val="center"/>
          </w:tcPr>
          <w:p w14:paraId="125907D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75" w:type="pct"/>
            <w:tcBorders>
              <w:top w:val="nil"/>
              <w:left w:val="nil"/>
              <w:bottom w:val="nil"/>
              <w:right w:val="nil"/>
            </w:tcBorders>
            <w:shd w:val="clear" w:color="auto" w:fill="auto"/>
            <w:noWrap/>
            <w:vAlign w:val="center"/>
          </w:tcPr>
          <w:p w14:paraId="465253E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46" w:type="pct"/>
            <w:tcBorders>
              <w:top w:val="nil"/>
              <w:left w:val="nil"/>
              <w:bottom w:val="nil"/>
              <w:right w:val="nil"/>
            </w:tcBorders>
            <w:shd w:val="clear" w:color="auto" w:fill="auto"/>
            <w:noWrap/>
            <w:vAlign w:val="center"/>
          </w:tcPr>
          <w:p w14:paraId="001A583C">
            <w:pPr>
              <w:keepNext w:val="0"/>
              <w:keepLines w:val="0"/>
              <w:widowControl/>
              <w:suppressLineNumbers w:val="0"/>
              <w:spacing w:before="0" w:beforeAutospacing="0" w:after="0" w:afterAutospacing="0"/>
              <w:ind w:left="0" w:right="0"/>
              <w:jc w:val="both"/>
              <w:textAlignment w:val="center"/>
              <w:rPr>
                <w:rFonts w:hint="default" w:ascii="黑体" w:hAnsi="宋体" w:eastAsia="黑体" w:cs="黑体"/>
                <w:i w:val="0"/>
                <w:iCs w:val="0"/>
                <w:color w:val="000000"/>
                <w:sz w:val="30"/>
                <w:szCs w:val="30"/>
                <w:u w:val="none"/>
              </w:rPr>
            </w:pPr>
          </w:p>
        </w:tc>
        <w:tc>
          <w:tcPr>
            <w:tcW w:w="142" w:type="pct"/>
            <w:tcBorders>
              <w:top w:val="nil"/>
              <w:left w:val="nil"/>
              <w:bottom w:val="nil"/>
              <w:right w:val="nil"/>
            </w:tcBorders>
            <w:shd w:val="clear" w:color="auto" w:fill="auto"/>
            <w:noWrap/>
            <w:vAlign w:val="center"/>
          </w:tcPr>
          <w:p w14:paraId="4D561CC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08" w:type="pct"/>
            <w:tcBorders>
              <w:top w:val="nil"/>
              <w:left w:val="nil"/>
              <w:bottom w:val="nil"/>
              <w:right w:val="nil"/>
            </w:tcBorders>
            <w:shd w:val="clear" w:color="auto" w:fill="auto"/>
            <w:noWrap/>
            <w:vAlign w:val="center"/>
          </w:tcPr>
          <w:p w14:paraId="6C96C9B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0CD37DF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72EF60F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76" w:type="pct"/>
            <w:tcBorders>
              <w:top w:val="nil"/>
              <w:left w:val="nil"/>
              <w:bottom w:val="nil"/>
              <w:right w:val="nil"/>
            </w:tcBorders>
            <w:shd w:val="clear" w:color="auto" w:fill="auto"/>
            <w:noWrap/>
            <w:vAlign w:val="center"/>
          </w:tcPr>
          <w:p w14:paraId="6DF04C9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14:paraId="2FE94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75" w:type="pct"/>
            <w:tcBorders>
              <w:top w:val="nil"/>
              <w:left w:val="nil"/>
              <w:bottom w:val="nil"/>
              <w:right w:val="nil"/>
            </w:tcBorders>
            <w:shd w:val="clear" w:color="auto" w:fill="auto"/>
            <w:noWrap/>
            <w:vAlign w:val="center"/>
          </w:tcPr>
          <w:p w14:paraId="439DB42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3371235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5468A00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32" w:type="pct"/>
            <w:tcBorders>
              <w:top w:val="nil"/>
              <w:left w:val="nil"/>
              <w:bottom w:val="nil"/>
              <w:right w:val="nil"/>
            </w:tcBorders>
            <w:shd w:val="clear" w:color="auto" w:fill="auto"/>
            <w:noWrap/>
            <w:vAlign w:val="center"/>
          </w:tcPr>
          <w:p w14:paraId="592BA49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75" w:type="pct"/>
            <w:tcBorders>
              <w:top w:val="nil"/>
              <w:left w:val="nil"/>
              <w:bottom w:val="nil"/>
              <w:right w:val="nil"/>
            </w:tcBorders>
            <w:shd w:val="clear" w:color="auto" w:fill="auto"/>
            <w:noWrap/>
            <w:vAlign w:val="center"/>
          </w:tcPr>
          <w:p w14:paraId="019A7A3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75" w:type="pct"/>
            <w:tcBorders>
              <w:top w:val="nil"/>
              <w:left w:val="nil"/>
              <w:bottom w:val="nil"/>
              <w:right w:val="nil"/>
            </w:tcBorders>
            <w:shd w:val="clear" w:color="auto" w:fill="auto"/>
            <w:noWrap/>
            <w:vAlign w:val="center"/>
          </w:tcPr>
          <w:p w14:paraId="6705D53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46" w:type="pct"/>
            <w:tcBorders>
              <w:top w:val="nil"/>
              <w:left w:val="nil"/>
              <w:bottom w:val="nil"/>
              <w:right w:val="nil"/>
            </w:tcBorders>
            <w:shd w:val="clear" w:color="auto" w:fill="auto"/>
            <w:noWrap/>
            <w:vAlign w:val="center"/>
          </w:tcPr>
          <w:p w14:paraId="298E205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3EFD1AF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08" w:type="pct"/>
            <w:tcBorders>
              <w:top w:val="nil"/>
              <w:left w:val="nil"/>
              <w:bottom w:val="nil"/>
              <w:right w:val="nil"/>
            </w:tcBorders>
            <w:shd w:val="clear" w:color="auto" w:fill="auto"/>
            <w:noWrap/>
            <w:vAlign w:val="center"/>
          </w:tcPr>
          <w:p w14:paraId="5476C4B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15C970F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0784741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76" w:type="pct"/>
            <w:tcBorders>
              <w:top w:val="nil"/>
              <w:left w:val="nil"/>
              <w:bottom w:val="nil"/>
              <w:right w:val="nil"/>
            </w:tcBorders>
            <w:shd w:val="clear" w:color="auto" w:fill="auto"/>
            <w:noWrap/>
            <w:vAlign w:val="bottom"/>
          </w:tcPr>
          <w:p w14:paraId="3D199915">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公开02表</w:t>
            </w:r>
          </w:p>
        </w:tc>
      </w:tr>
      <w:tr w14:paraId="67CAD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275" w:type="pct"/>
            <w:tcBorders>
              <w:top w:val="nil"/>
              <w:left w:val="nil"/>
              <w:bottom w:val="nil"/>
              <w:right w:val="nil"/>
            </w:tcBorders>
            <w:shd w:val="clear" w:color="auto" w:fill="auto"/>
            <w:noWrap/>
            <w:vAlign w:val="bottom"/>
          </w:tcPr>
          <w:p w14:paraId="470B0ED4">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部门：淮南市谢家集区文化和旅游局（本级）</w:t>
            </w:r>
          </w:p>
        </w:tc>
        <w:tc>
          <w:tcPr>
            <w:tcW w:w="142" w:type="pct"/>
            <w:tcBorders>
              <w:top w:val="nil"/>
              <w:left w:val="nil"/>
              <w:bottom w:val="nil"/>
              <w:right w:val="nil"/>
            </w:tcBorders>
            <w:shd w:val="clear" w:color="auto" w:fill="auto"/>
            <w:noWrap/>
            <w:vAlign w:val="center"/>
          </w:tcPr>
          <w:p w14:paraId="6442000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68AE411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32" w:type="pct"/>
            <w:tcBorders>
              <w:top w:val="nil"/>
              <w:left w:val="nil"/>
              <w:bottom w:val="nil"/>
              <w:right w:val="nil"/>
            </w:tcBorders>
            <w:shd w:val="clear" w:color="auto" w:fill="auto"/>
            <w:noWrap/>
            <w:vAlign w:val="center"/>
          </w:tcPr>
          <w:p w14:paraId="7C5240B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75" w:type="pct"/>
            <w:tcBorders>
              <w:top w:val="nil"/>
              <w:left w:val="nil"/>
              <w:bottom w:val="nil"/>
              <w:right w:val="nil"/>
            </w:tcBorders>
            <w:shd w:val="clear" w:color="auto" w:fill="auto"/>
            <w:noWrap/>
            <w:vAlign w:val="center"/>
          </w:tcPr>
          <w:p w14:paraId="4AAA658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75" w:type="pct"/>
            <w:tcBorders>
              <w:top w:val="nil"/>
              <w:left w:val="nil"/>
              <w:bottom w:val="nil"/>
              <w:right w:val="nil"/>
            </w:tcBorders>
            <w:shd w:val="clear" w:color="auto" w:fill="auto"/>
            <w:noWrap/>
            <w:vAlign w:val="center"/>
          </w:tcPr>
          <w:p w14:paraId="54574E2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46" w:type="pct"/>
            <w:tcBorders>
              <w:top w:val="nil"/>
              <w:left w:val="nil"/>
              <w:bottom w:val="nil"/>
              <w:right w:val="nil"/>
            </w:tcBorders>
            <w:shd w:val="clear" w:color="auto" w:fill="auto"/>
            <w:noWrap/>
            <w:vAlign w:val="center"/>
          </w:tcPr>
          <w:p w14:paraId="69B098B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1CDAD06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08" w:type="pct"/>
            <w:tcBorders>
              <w:top w:val="nil"/>
              <w:left w:val="nil"/>
              <w:bottom w:val="nil"/>
              <w:right w:val="nil"/>
            </w:tcBorders>
            <w:shd w:val="clear" w:color="auto" w:fill="auto"/>
            <w:noWrap/>
            <w:vAlign w:val="center"/>
          </w:tcPr>
          <w:p w14:paraId="2AA09B0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09910C7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color="auto" w:fill="auto"/>
            <w:noWrap/>
            <w:vAlign w:val="center"/>
          </w:tcPr>
          <w:p w14:paraId="29E6E66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76" w:type="pct"/>
            <w:tcBorders>
              <w:top w:val="nil"/>
              <w:left w:val="nil"/>
              <w:bottom w:val="nil"/>
              <w:right w:val="nil"/>
            </w:tcBorders>
            <w:shd w:val="clear" w:color="auto" w:fill="auto"/>
            <w:noWrap/>
            <w:vAlign w:val="bottom"/>
          </w:tcPr>
          <w:p w14:paraId="155871DC">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4D33E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718BA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13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D876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75"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8979D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475"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DD4DF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34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3A7037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350" w:type="pct"/>
            <w:gridSpan w:val="2"/>
            <w:tcBorders>
              <w:top w:val="single" w:color="D4D4D4" w:sz="4" w:space="0"/>
              <w:left w:val="single" w:color="D4D4D4" w:sz="4" w:space="0"/>
              <w:bottom w:val="single" w:color="D4D4D4" w:sz="4" w:space="0"/>
              <w:right w:val="single" w:color="D4D4D4" w:sz="4" w:space="0"/>
            </w:tcBorders>
            <w:shd w:val="clear" w:color="auto" w:fill="F1F1F1"/>
            <w:vAlign w:val="center"/>
          </w:tcPr>
          <w:p w14:paraId="5B3751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DC5A6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EE5D3D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37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F9FBB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17EA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77E343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3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C7BEE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7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337EB1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7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210461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4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1AA135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85005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08"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F0D69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其中：教育收费</w:t>
            </w: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E0D360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3B1B69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7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C74976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E6F9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9BB70C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3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4089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7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15F50F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7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0012E6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4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1E89D1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D2560E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08"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AE06C5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D64D78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B868CA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7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72FD01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F7A9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60"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6B517D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3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FD8EC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7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448463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7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013D8F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4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914E86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E2118B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08"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D056B8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BF98C1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B1F5B8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7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E2F147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C263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75"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6F56C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9A60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AF45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3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4252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75"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58EAEC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75"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9DEC0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1E132B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2"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60476E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08"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023105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2"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17970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2"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54A2C0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7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579913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6B78E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75"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B8C50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9AD1A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185B2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3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E5AE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B3377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1,817,355.48</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27895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1,730,355.48</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73DA63">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C9F5FFD">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1E5C1C">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0C9C253">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0B9909">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AC8941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87,000.00</w:t>
            </w:r>
          </w:p>
        </w:tc>
      </w:tr>
      <w:tr w14:paraId="26E44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E0E70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2070101</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02EB7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4B085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581,853.37</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459683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581,853.37</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C8180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5FBF7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A7DB7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7BB19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40362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36C79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A9DB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3513A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2070109</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50056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群众文化</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7A5EC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326,641.28</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7FCA3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326,641.28</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B4582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A25AEF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2CA79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70C040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FEB9C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A80B3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35ED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6984F1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2070111</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889CC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文化创作与保护</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104C4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1B2FDC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4112B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4F3CA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28EB8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AE810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EB248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C4EE7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CF66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A226B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78B84B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其他文化和旅游支出</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D0BE10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6BFB5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7AC49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1B394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D7B6CE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1553B3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AF368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C8668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3A66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54B67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22AF64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E61B6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71140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273B7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A617B3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45091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34E01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5D769D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A785B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6DFD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C0FC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31774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F5EA3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20689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5AAF7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8028D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687FF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CC1F35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BA053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52E6C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54FB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F4B06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35633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29466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67,496.16</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7C5E60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67,496.16</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793DF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F142B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4B3D7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4F66B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67C10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181AE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EDFB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B38BA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DD30D9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1367D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89,158.55</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6DEC4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89,158.55</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F1D56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F35AE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49B95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50B9ED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A855A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55503F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C3C0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20D7E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A2D79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6D3E0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48,474.24</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E4102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48,474.24</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28931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588254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BA2B5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AF83FB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ADBB1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EB078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8136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139B0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BE473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32441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32,000.00</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B7C5C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32,000.00</w:t>
            </w: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0C798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ACC03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550BEB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11C00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66BE4C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469CA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A7E2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6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7FC20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113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82E63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79C27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87,000.00</w:t>
            </w:r>
          </w:p>
        </w:tc>
        <w:tc>
          <w:tcPr>
            <w:tcW w:w="475"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3699F5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4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12CA1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9AE7C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0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B225A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D8A4C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38899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7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53E4D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87,000.00</w:t>
            </w:r>
          </w:p>
        </w:tc>
      </w:tr>
      <w:tr w14:paraId="7DD16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12"/>
            <w:tcBorders>
              <w:top w:val="single" w:color="D4D4D4" w:sz="4" w:space="0"/>
              <w:left w:val="nil"/>
              <w:bottom w:val="nil"/>
              <w:right w:val="nil"/>
            </w:tcBorders>
            <w:shd w:val="clear" w:color="auto" w:fill="FFFFFF"/>
            <w:noWrap/>
            <w:vAlign w:val="center"/>
          </w:tcPr>
          <w:p w14:paraId="0B26174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注：本表反映单位本年度取得的各项收入情况。</w:t>
            </w:r>
          </w:p>
        </w:tc>
      </w:tr>
    </w:tbl>
    <w:p w14:paraId="2071D128">
      <w:pPr>
        <w:pStyle w:val="7"/>
        <w:widowControl/>
        <w:ind w:firstLine="5126" w:firstLineChars="1602"/>
        <w:jc w:val="both"/>
        <w:rPr>
          <w:rFonts w:hint="default" w:ascii="黑体" w:hAnsi="宋体" w:eastAsia="黑体" w:cs="黑体"/>
          <w:color w:val="000000"/>
          <w:sz w:val="32"/>
          <w:szCs w:val="32"/>
          <w:lang w:val="en-US" w:eastAsia="zh-CN"/>
        </w:rPr>
      </w:pPr>
      <w:r>
        <w:rPr>
          <w:rFonts w:hint="eastAsia" w:ascii="黑体" w:hAnsi="宋体" w:eastAsia="黑体" w:cs="黑体"/>
          <w:color w:val="000000"/>
          <w:sz w:val="32"/>
          <w:szCs w:val="32"/>
          <w:lang w:val="en-US" w:eastAsia="zh-CN"/>
        </w:rPr>
        <w:t>三、支出决算表</w:t>
      </w:r>
    </w:p>
    <w:tbl>
      <w:tblPr>
        <w:tblStyle w:val="3"/>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3"/>
        <w:gridCol w:w="422"/>
        <w:gridCol w:w="423"/>
        <w:gridCol w:w="3523"/>
        <w:gridCol w:w="1466"/>
        <w:gridCol w:w="1258"/>
        <w:gridCol w:w="1258"/>
        <w:gridCol w:w="423"/>
        <w:gridCol w:w="423"/>
        <w:gridCol w:w="1005"/>
      </w:tblGrid>
      <w:tr w14:paraId="5D36B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6" w:type="pct"/>
            <w:tcBorders>
              <w:top w:val="nil"/>
              <w:left w:val="nil"/>
              <w:bottom w:val="nil"/>
              <w:right w:val="nil"/>
            </w:tcBorders>
            <w:shd w:val="clear" w:color="auto" w:fill="auto"/>
            <w:noWrap/>
            <w:vAlign w:val="center"/>
          </w:tcPr>
          <w:p w14:paraId="1D573C6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7" w:type="pct"/>
            <w:tcBorders>
              <w:top w:val="nil"/>
              <w:left w:val="nil"/>
              <w:bottom w:val="nil"/>
              <w:right w:val="nil"/>
            </w:tcBorders>
            <w:shd w:val="clear" w:color="auto" w:fill="auto"/>
            <w:noWrap/>
            <w:vAlign w:val="center"/>
          </w:tcPr>
          <w:p w14:paraId="450934C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7" w:type="pct"/>
            <w:tcBorders>
              <w:top w:val="nil"/>
              <w:left w:val="nil"/>
              <w:bottom w:val="nil"/>
              <w:right w:val="nil"/>
            </w:tcBorders>
            <w:shd w:val="clear" w:color="auto" w:fill="auto"/>
            <w:noWrap/>
            <w:vAlign w:val="center"/>
          </w:tcPr>
          <w:p w14:paraId="5CB5380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007" w:type="pct"/>
            <w:tcBorders>
              <w:top w:val="nil"/>
              <w:left w:val="nil"/>
              <w:bottom w:val="nil"/>
              <w:right w:val="nil"/>
            </w:tcBorders>
            <w:shd w:val="clear" w:color="auto" w:fill="auto"/>
            <w:noWrap/>
            <w:vAlign w:val="center"/>
          </w:tcPr>
          <w:p w14:paraId="576B1B3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55D01F5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4428B8D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5653FED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2376165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676DE82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bottom"/>
          </w:tcPr>
          <w:p w14:paraId="7A793276">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公开03表</w:t>
            </w:r>
          </w:p>
        </w:tc>
      </w:tr>
      <w:tr w14:paraId="51059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6" w:type="pct"/>
            <w:tcBorders>
              <w:top w:val="nil"/>
              <w:left w:val="nil"/>
              <w:bottom w:val="nil"/>
              <w:right w:val="nil"/>
            </w:tcBorders>
            <w:shd w:val="clear" w:color="auto" w:fill="auto"/>
            <w:noWrap/>
            <w:vAlign w:val="bottom"/>
          </w:tcPr>
          <w:p w14:paraId="473C5D30">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部门：淮南市谢家集区文化和旅游局（本级）</w:t>
            </w:r>
          </w:p>
        </w:tc>
        <w:tc>
          <w:tcPr>
            <w:tcW w:w="117" w:type="pct"/>
            <w:tcBorders>
              <w:top w:val="nil"/>
              <w:left w:val="nil"/>
              <w:bottom w:val="nil"/>
              <w:right w:val="nil"/>
            </w:tcBorders>
            <w:shd w:val="clear" w:color="auto" w:fill="auto"/>
            <w:noWrap/>
            <w:vAlign w:val="center"/>
          </w:tcPr>
          <w:p w14:paraId="7C48F5A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7" w:type="pct"/>
            <w:tcBorders>
              <w:top w:val="nil"/>
              <w:left w:val="nil"/>
              <w:bottom w:val="nil"/>
              <w:right w:val="nil"/>
            </w:tcBorders>
            <w:shd w:val="clear" w:color="auto" w:fill="auto"/>
            <w:noWrap/>
            <w:vAlign w:val="center"/>
          </w:tcPr>
          <w:p w14:paraId="34CE924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007" w:type="pct"/>
            <w:tcBorders>
              <w:top w:val="nil"/>
              <w:left w:val="nil"/>
              <w:bottom w:val="nil"/>
              <w:right w:val="nil"/>
            </w:tcBorders>
            <w:shd w:val="clear" w:color="auto" w:fill="auto"/>
            <w:noWrap/>
            <w:vAlign w:val="center"/>
          </w:tcPr>
          <w:p w14:paraId="5E97C07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4A1AF2D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57E1276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364F022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464CEB6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center"/>
          </w:tcPr>
          <w:p w14:paraId="5641505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436" w:type="pct"/>
            <w:tcBorders>
              <w:top w:val="nil"/>
              <w:left w:val="nil"/>
              <w:bottom w:val="nil"/>
              <w:right w:val="nil"/>
            </w:tcBorders>
            <w:shd w:val="clear" w:color="auto" w:fill="auto"/>
            <w:noWrap/>
            <w:vAlign w:val="bottom"/>
          </w:tcPr>
          <w:p w14:paraId="449798FC">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45FB5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2BAFA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007"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45B4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3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F0D2C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43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69060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43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1B4CF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43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FBE82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43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86C02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43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9F837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2CAF8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6E1F6B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007"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E0D0F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91CA89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608CB5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B99F60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A135C1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5BEFAA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E305CA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C88C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67026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007"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5C602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21AF01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9C0CD6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94F04A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035559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2C05EC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8F7DD3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34CA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35EAD2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007"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E03679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0D4BB0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41D2C5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C17EBB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15379C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330FD6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3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3FBB51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5244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36"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E5AE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117"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C58D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117"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AD0C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00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5D74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3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069273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9DCD3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3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4C089D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3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60FBDA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3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3ECA8D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3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27DFE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5EB8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36"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EEB02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7"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6E5E4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7"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49B76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00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AC5F4E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7277A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1,815,907.48</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ED0A8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834,779.32</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44C84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981,128.16</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A3F678">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DB91B6">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4B77DD">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r>
      <w:tr w14:paraId="66AA1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5453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2070101</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97A5F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7E174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581,853.37</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721A2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526,913.37</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68E7A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54,940.00</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840D01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415ED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D4951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EB48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1412B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2070109</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89507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群众文化</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F8853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326,641.28</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E51B8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34F6A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326,641.28</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97C76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59ADC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80EF9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9443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48989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2070111</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98E27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文化创作与保护</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4C139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65BDE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80938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B6BC4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0703B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45B15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2336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C5005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7081C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其他文化和旅游支出</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253AB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D2C67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9BF76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F1708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4BE3D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7FD65F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56C0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0E4E5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69A530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07D76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6E075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FA03C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14D0B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DD97C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C5DEB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5479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B6CEAF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1CF68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A0E8C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8E171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D1FDC9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55F06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0C0D0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272FA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98DD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A1D575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0CB5AC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25B4A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67,496.16</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8667D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67,496.16</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D96147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BBD22E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D8160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386E8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155B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7AD1B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D8AEA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B14F9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89,158.55</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6EF95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89,158.55</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CE164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DF925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A5B8E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45630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3A95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06467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9544B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896BB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48,474.24</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09571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48,474.24</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37841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E0E54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3CE8D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9A14D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D279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708EC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1527CF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C862F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32,000.00</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8CC1B1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32,000.00</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DFF20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73D02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F1686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176D8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F8A0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71"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E8F0D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100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560E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FB976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85,552.00</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B0E4B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9274B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85,552.00</w:t>
            </w: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FFEDA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6B34E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43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7F9610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724C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10"/>
            <w:tcBorders>
              <w:top w:val="single" w:color="D4D4D4" w:sz="4" w:space="0"/>
              <w:left w:val="nil"/>
              <w:bottom w:val="nil"/>
              <w:right w:val="nil"/>
            </w:tcBorders>
            <w:shd w:val="clear" w:color="auto" w:fill="FFFFFF"/>
            <w:noWrap/>
            <w:vAlign w:val="center"/>
          </w:tcPr>
          <w:p w14:paraId="6F50A88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注：本表反映单位本年度各项支出情况。</w:t>
            </w:r>
          </w:p>
        </w:tc>
      </w:tr>
    </w:tbl>
    <w:p w14:paraId="7DE4A330">
      <w:pPr>
        <w:pStyle w:val="7"/>
        <w:widowControl/>
        <w:ind w:firstLine="640"/>
        <w:jc w:val="both"/>
        <w:rPr>
          <w:rFonts w:hint="eastAsia" w:ascii="黑体" w:hAnsi="宋体" w:eastAsia="黑体" w:cs="黑体"/>
          <w:color w:val="000000"/>
          <w:sz w:val="32"/>
          <w:szCs w:val="32"/>
        </w:rPr>
      </w:pPr>
    </w:p>
    <w:p w14:paraId="0C470F7A">
      <w:pPr>
        <w:pStyle w:val="7"/>
        <w:widowControl/>
        <w:ind w:firstLine="640"/>
        <w:jc w:val="both"/>
        <w:rPr>
          <w:rFonts w:hint="eastAsia" w:ascii="黑体" w:hAnsi="宋体" w:eastAsia="黑体" w:cs="黑体"/>
          <w:color w:val="000000"/>
          <w:sz w:val="32"/>
          <w:szCs w:val="3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50"/>
        <w:gridCol w:w="427"/>
        <w:gridCol w:w="1481"/>
        <w:gridCol w:w="3379"/>
        <w:gridCol w:w="427"/>
        <w:gridCol w:w="1481"/>
        <w:gridCol w:w="1481"/>
        <w:gridCol w:w="427"/>
        <w:gridCol w:w="1021"/>
      </w:tblGrid>
      <w:tr w14:paraId="629AC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9"/>
            <w:tcBorders>
              <w:top w:val="nil"/>
              <w:left w:val="nil"/>
              <w:bottom w:val="nil"/>
              <w:right w:val="nil"/>
            </w:tcBorders>
            <w:shd w:val="clear" w:color="auto" w:fill="auto"/>
            <w:noWrap/>
            <w:vAlign w:val="center"/>
          </w:tcPr>
          <w:p w14:paraId="6688BA3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财政拨款收入支出决算总表</w:t>
            </w:r>
          </w:p>
        </w:tc>
      </w:tr>
      <w:tr w14:paraId="0574E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97" w:type="pct"/>
            <w:tcBorders>
              <w:top w:val="nil"/>
              <w:left w:val="nil"/>
              <w:bottom w:val="nil"/>
              <w:right w:val="nil"/>
            </w:tcBorders>
            <w:shd w:val="clear" w:color="auto" w:fill="auto"/>
            <w:noWrap/>
            <w:vAlign w:val="center"/>
          </w:tcPr>
          <w:p w14:paraId="2F398BA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07D2B37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4FA96C4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265" w:type="pct"/>
            <w:tcBorders>
              <w:top w:val="nil"/>
              <w:left w:val="nil"/>
              <w:bottom w:val="nil"/>
              <w:right w:val="nil"/>
            </w:tcBorders>
            <w:shd w:val="clear" w:color="auto" w:fill="auto"/>
            <w:noWrap/>
            <w:vAlign w:val="center"/>
          </w:tcPr>
          <w:p w14:paraId="64B99E6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41A62C5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330220D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5E4C144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63687E8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53" w:type="pct"/>
            <w:tcBorders>
              <w:top w:val="nil"/>
              <w:left w:val="nil"/>
              <w:bottom w:val="nil"/>
              <w:right w:val="nil"/>
            </w:tcBorders>
            <w:shd w:val="clear" w:color="auto" w:fill="auto"/>
            <w:noWrap/>
            <w:vAlign w:val="bottom"/>
          </w:tcPr>
          <w:p w14:paraId="368E02FE">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公开04表</w:t>
            </w:r>
          </w:p>
        </w:tc>
      </w:tr>
      <w:tr w14:paraId="2B751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97" w:type="pct"/>
            <w:tcBorders>
              <w:top w:val="nil"/>
              <w:left w:val="nil"/>
              <w:bottom w:val="nil"/>
              <w:right w:val="nil"/>
            </w:tcBorders>
            <w:shd w:val="clear" w:color="auto" w:fill="auto"/>
            <w:noWrap/>
            <w:vAlign w:val="bottom"/>
          </w:tcPr>
          <w:p w14:paraId="4BA4ADEF">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部门：淮南市谢家集区文化和旅游局（本级）</w:t>
            </w:r>
          </w:p>
        </w:tc>
        <w:tc>
          <w:tcPr>
            <w:tcW w:w="148" w:type="pct"/>
            <w:tcBorders>
              <w:top w:val="nil"/>
              <w:left w:val="nil"/>
              <w:bottom w:val="nil"/>
              <w:right w:val="nil"/>
            </w:tcBorders>
            <w:shd w:val="clear" w:color="auto" w:fill="auto"/>
            <w:noWrap/>
            <w:vAlign w:val="center"/>
          </w:tcPr>
          <w:p w14:paraId="40B3283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371AB8A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265" w:type="pct"/>
            <w:tcBorders>
              <w:top w:val="nil"/>
              <w:left w:val="nil"/>
              <w:bottom w:val="nil"/>
              <w:right w:val="nil"/>
            </w:tcBorders>
            <w:shd w:val="clear" w:color="auto" w:fill="auto"/>
            <w:noWrap/>
            <w:vAlign w:val="center"/>
          </w:tcPr>
          <w:p w14:paraId="5C5F375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7FD2A83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27CB31D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5DD8A77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19633BE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53" w:type="pct"/>
            <w:tcBorders>
              <w:top w:val="nil"/>
              <w:left w:val="nil"/>
              <w:bottom w:val="nil"/>
              <w:right w:val="nil"/>
            </w:tcBorders>
            <w:shd w:val="clear" w:color="auto" w:fill="auto"/>
            <w:noWrap/>
            <w:vAlign w:val="bottom"/>
          </w:tcPr>
          <w:p w14:paraId="22D1B804">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0DF90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058"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DA47AC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2941" w:type="pct"/>
            <w:gridSpan w:val="6"/>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2C75BF9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1BC4D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9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12DF4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48"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43959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51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34953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1265"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515F1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48"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9E3C3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51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B0F4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51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ED23F7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48"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CF9038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353" w:type="pct"/>
            <w:vMerge w:val="restart"/>
            <w:tcBorders>
              <w:top w:val="single" w:color="D4D4D4" w:sz="4" w:space="0"/>
              <w:left w:val="single" w:color="D4D4D4" w:sz="4" w:space="0"/>
              <w:bottom w:val="single" w:color="D4D4D4" w:sz="4" w:space="0"/>
              <w:right w:val="single" w:color="D4D4D4" w:sz="12" w:space="0"/>
            </w:tcBorders>
            <w:shd w:val="clear" w:color="auto" w:fill="F1F1F1"/>
            <w:vAlign w:val="center"/>
          </w:tcPr>
          <w:p w14:paraId="370253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78063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9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2EE13B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8"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FCE136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1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4D969D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265"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3B83F3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8"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5CB44F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1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A200B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1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D6A032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48"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76D932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53" w:type="pct"/>
            <w:vMerge w:val="continue"/>
            <w:tcBorders>
              <w:top w:val="single" w:color="D4D4D4" w:sz="4" w:space="0"/>
              <w:left w:val="single" w:color="D4D4D4" w:sz="4" w:space="0"/>
              <w:bottom w:val="single" w:color="D4D4D4" w:sz="4" w:space="0"/>
              <w:right w:val="single" w:color="D4D4D4" w:sz="12" w:space="0"/>
            </w:tcBorders>
            <w:shd w:val="clear" w:color="auto" w:fill="F1F1F1"/>
            <w:vAlign w:val="center"/>
          </w:tcPr>
          <w:p w14:paraId="4F447BF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1066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F95C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E9F6AB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1AC5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B30A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47DCB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F2BC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C3C9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04957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53" w:type="pct"/>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72985FF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5D473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E5B83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80CE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709B5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1,730,355.48</w:t>
            </w: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0537B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5C48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1CD83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A4C7A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2DA30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765A85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2345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0FD6F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EE42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F3904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A664B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583C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78A51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82A3B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6A651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D60145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641F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51769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ED90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82351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3744F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E9C7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16AFE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A0EF4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ED479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A04FC1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F6F8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81838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9A16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57A693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3122D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FD21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9C6A1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8EDD03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DD154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AC8EA0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ED8F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3C848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59B2B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F62CC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32E4D4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908A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A3C5B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12D4B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FC309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6CA126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6F86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60A5B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42DB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9EF28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ACDDE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3855A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08EA6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9A6B95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5A5B4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7D325E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F6AC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ED5F1EE">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FDB99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E76EFF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0CC28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58ED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1693C7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1,422,489.53</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B6EF98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1,422,489.53</w:t>
            </w: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0AC20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4FFE13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22FB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CAF7E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57A0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EC3512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3C23C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6FD3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354F7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227,391.71</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604E3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227,391.71</w:t>
            </w: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3070F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23D414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74DA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AE07F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E2EF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7D63C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CC9E6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325F4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464A2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451AC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4ACE4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81B58C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24E4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145D1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AF910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229045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EE618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44D0B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777BC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102FD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4DF97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060984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9F13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1760E4B">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7D2E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E5329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1CD56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6BA0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172F5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50AF8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C9B499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C8C73F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DD60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73CAE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3CAE2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5F982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386A6C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2E35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1CDD9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6F2DD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55C72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F69971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053B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6CE123">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37E3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5B231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55FC3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6A48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58024D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3129A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65379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CE46FB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4152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A07318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261A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A9C4F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AC28F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FC02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A56607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84229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B7BC8B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BEE59D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8007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C5E102">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E04A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ED084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D6EA1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7F8E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1E162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C1553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3BCD9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1D13AE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C166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C3C71E">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12DD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BBB3F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A291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7363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6C554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361C6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DB743A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357458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36CA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12824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955E0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9C2BE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753C0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2615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BA3554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55969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885608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5528CE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77CD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BB814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D11E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AF02F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75444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7C50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7BBA0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97A64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63002E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336B26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AD0E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E1C00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3260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0ABB4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27C4A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FDA4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DEB8E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80,474.24</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060A9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80,474.24</w:t>
            </w: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691A8C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9BF7CD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27400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CF5BE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BE7E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847B5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A39A7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268B8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35C5C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B6FA5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68747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5B0022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AD1C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EE8CE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5FC8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F83FAD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46CF5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795A3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C979F3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1AC3D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6F921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D2B63B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FF23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DE8BA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EEAD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DE88C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D944C3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269E9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8C317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50CD27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5E36B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BB32F6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0997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86506C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FBA3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C4DCD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7ACED7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F7D3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EBD13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6AFB4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7D63E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1EE8DA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E0A0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DCDAB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06E0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672E9B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1,730,355.48</w:t>
            </w: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045BDE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F38E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D577EF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37F15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831466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C225F0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847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767F9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8807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E83BC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2E610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B91F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682A8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A37FD0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11220A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004235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D336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AEBFA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04DFF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46687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5E0AF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74B4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84D0D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7F6D0E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8FAC6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9A7E59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76E8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596A9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4318D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D7E52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1900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B79E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B7F9F6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1,730,355.48</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6C791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1,730,355.48</w:t>
            </w: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26BBD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B8D51E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3576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03A8E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6A90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C906D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26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6FF5D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14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D9D9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19BD0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51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82FC6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4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D9048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061C15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8846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97"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1F2DE8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148"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46AD58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512" w:type="pct"/>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120C65D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1,730,355.48</w:t>
            </w:r>
          </w:p>
        </w:tc>
        <w:tc>
          <w:tcPr>
            <w:tcW w:w="1265"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28CDE1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148"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7A4982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512" w:type="pct"/>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743221E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1,730,355.48</w:t>
            </w:r>
          </w:p>
        </w:tc>
        <w:tc>
          <w:tcPr>
            <w:tcW w:w="512" w:type="pct"/>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44E2989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1,730,355.48</w:t>
            </w:r>
          </w:p>
        </w:tc>
        <w:tc>
          <w:tcPr>
            <w:tcW w:w="148" w:type="pct"/>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7732A64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53" w:type="pct"/>
            <w:tcBorders>
              <w:top w:val="single" w:color="D4D4D4" w:sz="4" w:space="0"/>
              <w:left w:val="single" w:color="D4D4D4" w:sz="4" w:space="0"/>
              <w:bottom w:val="single" w:color="D4D4D4" w:sz="12" w:space="0"/>
              <w:right w:val="single" w:color="D4D4D4" w:sz="12" w:space="0"/>
            </w:tcBorders>
            <w:shd w:val="clear" w:color="auto" w:fill="FFFFFF"/>
            <w:noWrap/>
            <w:vAlign w:val="center"/>
          </w:tcPr>
          <w:p w14:paraId="2F85BCE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D11D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000" w:type="pct"/>
            <w:gridSpan w:val="9"/>
            <w:tcBorders>
              <w:top w:val="single" w:color="D4D4D4" w:sz="12" w:space="0"/>
              <w:left w:val="nil"/>
              <w:bottom w:val="nil"/>
              <w:right w:val="nil"/>
            </w:tcBorders>
            <w:shd w:val="clear" w:color="auto" w:fill="FFFFFF"/>
            <w:vAlign w:val="center"/>
          </w:tcPr>
          <w:p w14:paraId="62E90BD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注：本表反映单位本年度一般公共预算财政拨款、政府性基金预算财政拨款和国有资本经营预算财政拨款的总收支和年末结转结余情况。</w:t>
            </w:r>
          </w:p>
        </w:tc>
      </w:tr>
      <w:tr w14:paraId="268E6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97" w:type="pct"/>
            <w:tcBorders>
              <w:top w:val="nil"/>
              <w:left w:val="nil"/>
              <w:bottom w:val="nil"/>
              <w:right w:val="nil"/>
            </w:tcBorders>
            <w:shd w:val="clear" w:color="auto" w:fill="auto"/>
            <w:noWrap/>
            <w:vAlign w:val="center"/>
          </w:tcPr>
          <w:p w14:paraId="5B32741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6D435DC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6CAFDA7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265" w:type="pct"/>
            <w:tcBorders>
              <w:top w:val="nil"/>
              <w:left w:val="nil"/>
              <w:bottom w:val="nil"/>
              <w:right w:val="nil"/>
            </w:tcBorders>
            <w:shd w:val="clear" w:color="auto" w:fill="auto"/>
            <w:noWrap/>
            <w:vAlign w:val="center"/>
          </w:tcPr>
          <w:p w14:paraId="5CB108A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1454459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2E6257C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4EE4220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128DE9F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53" w:type="pct"/>
            <w:tcBorders>
              <w:top w:val="nil"/>
              <w:left w:val="nil"/>
              <w:bottom w:val="nil"/>
              <w:right w:val="nil"/>
            </w:tcBorders>
            <w:shd w:val="clear" w:color="auto" w:fill="auto"/>
            <w:noWrap/>
            <w:vAlign w:val="center"/>
          </w:tcPr>
          <w:p w14:paraId="668021B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14:paraId="29431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97" w:type="pct"/>
            <w:tcBorders>
              <w:top w:val="nil"/>
              <w:left w:val="nil"/>
              <w:bottom w:val="nil"/>
              <w:right w:val="nil"/>
            </w:tcBorders>
            <w:shd w:val="clear" w:color="auto" w:fill="auto"/>
            <w:noWrap/>
            <w:vAlign w:val="center"/>
          </w:tcPr>
          <w:p w14:paraId="4AFC08F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161257D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2C20893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265" w:type="pct"/>
            <w:tcBorders>
              <w:top w:val="nil"/>
              <w:left w:val="nil"/>
              <w:bottom w:val="nil"/>
              <w:right w:val="nil"/>
            </w:tcBorders>
            <w:shd w:val="clear" w:color="auto" w:fill="auto"/>
            <w:noWrap/>
            <w:vAlign w:val="bottom"/>
          </w:tcPr>
          <w:p w14:paraId="4E5B56B9">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4 —</w:t>
            </w:r>
          </w:p>
        </w:tc>
        <w:tc>
          <w:tcPr>
            <w:tcW w:w="148" w:type="pct"/>
            <w:tcBorders>
              <w:top w:val="nil"/>
              <w:left w:val="nil"/>
              <w:bottom w:val="nil"/>
              <w:right w:val="nil"/>
            </w:tcBorders>
            <w:shd w:val="clear" w:color="auto" w:fill="auto"/>
            <w:noWrap/>
            <w:vAlign w:val="center"/>
          </w:tcPr>
          <w:p w14:paraId="7CD6890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629EBFB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12" w:type="pct"/>
            <w:tcBorders>
              <w:top w:val="nil"/>
              <w:left w:val="nil"/>
              <w:bottom w:val="nil"/>
              <w:right w:val="nil"/>
            </w:tcBorders>
            <w:shd w:val="clear" w:color="auto" w:fill="auto"/>
            <w:noWrap/>
            <w:vAlign w:val="center"/>
          </w:tcPr>
          <w:p w14:paraId="6D40131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48" w:type="pct"/>
            <w:tcBorders>
              <w:top w:val="nil"/>
              <w:left w:val="nil"/>
              <w:bottom w:val="nil"/>
              <w:right w:val="nil"/>
            </w:tcBorders>
            <w:shd w:val="clear" w:color="auto" w:fill="auto"/>
            <w:noWrap/>
            <w:vAlign w:val="center"/>
          </w:tcPr>
          <w:p w14:paraId="18FE4FF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53" w:type="pct"/>
            <w:tcBorders>
              <w:top w:val="nil"/>
              <w:left w:val="nil"/>
              <w:bottom w:val="nil"/>
              <w:right w:val="nil"/>
            </w:tcBorders>
            <w:shd w:val="clear" w:color="auto" w:fill="auto"/>
            <w:noWrap/>
            <w:vAlign w:val="center"/>
          </w:tcPr>
          <w:p w14:paraId="0A0E00A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bl>
    <w:p w14:paraId="6991233E">
      <w:pPr>
        <w:pStyle w:val="7"/>
        <w:widowControl/>
        <w:ind w:firstLine="640"/>
        <w:jc w:val="both"/>
        <w:rPr>
          <w:rFonts w:hint="eastAsia" w:ascii="黑体" w:hAnsi="宋体" w:eastAsia="黑体" w:cs="黑体"/>
          <w:color w:val="000000"/>
          <w:sz w:val="32"/>
          <w:szCs w:val="32"/>
        </w:rPr>
      </w:pPr>
    </w:p>
    <w:p w14:paraId="38926ACB">
      <w:pPr>
        <w:pStyle w:val="7"/>
        <w:widowControl/>
        <w:ind w:firstLine="640"/>
        <w:jc w:val="both"/>
        <w:rPr>
          <w:rFonts w:hint="eastAsia" w:ascii="黑体" w:hAnsi="宋体" w:eastAsia="黑体" w:cs="黑体"/>
          <w:color w:val="000000"/>
          <w:sz w:val="32"/>
          <w:szCs w:val="32"/>
        </w:rPr>
      </w:pPr>
    </w:p>
    <w:tbl>
      <w:tblPr>
        <w:tblStyle w:val="3"/>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16"/>
        <w:gridCol w:w="436"/>
        <w:gridCol w:w="436"/>
        <w:gridCol w:w="3736"/>
        <w:gridCol w:w="1914"/>
        <w:gridCol w:w="1664"/>
        <w:gridCol w:w="1676"/>
      </w:tblGrid>
      <w:tr w14:paraId="24712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078" w:type="dxa"/>
            <w:gridSpan w:val="7"/>
            <w:tcBorders>
              <w:top w:val="nil"/>
              <w:left w:val="nil"/>
              <w:bottom w:val="nil"/>
              <w:right w:val="nil"/>
            </w:tcBorders>
            <w:shd w:val="clear" w:color="auto" w:fill="auto"/>
            <w:noWrap/>
            <w:vAlign w:val="center"/>
          </w:tcPr>
          <w:p w14:paraId="28FB3F3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一般公共预算财政拨款支出决算表</w:t>
            </w:r>
          </w:p>
        </w:tc>
      </w:tr>
      <w:tr w14:paraId="42415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nil"/>
              <w:left w:val="nil"/>
              <w:bottom w:val="nil"/>
              <w:right w:val="nil"/>
            </w:tcBorders>
            <w:shd w:val="clear" w:color="auto" w:fill="auto"/>
            <w:noWrap/>
            <w:vAlign w:val="center"/>
          </w:tcPr>
          <w:p w14:paraId="0197058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9220BD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B0BD5B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0FF677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E7687B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AACD11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14:paraId="089D5474">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公开05表</w:t>
            </w:r>
          </w:p>
        </w:tc>
      </w:tr>
      <w:tr w14:paraId="254B8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nil"/>
              <w:left w:val="nil"/>
              <w:bottom w:val="nil"/>
              <w:right w:val="nil"/>
            </w:tcBorders>
            <w:shd w:val="clear" w:color="auto" w:fill="auto"/>
            <w:noWrap/>
            <w:vAlign w:val="bottom"/>
          </w:tcPr>
          <w:p w14:paraId="57FC53F7">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部门：淮南市谢家集区文化和旅游局（本级）</w:t>
            </w:r>
          </w:p>
        </w:tc>
        <w:tc>
          <w:tcPr>
            <w:tcW w:w="0" w:type="auto"/>
            <w:tcBorders>
              <w:top w:val="nil"/>
              <w:left w:val="nil"/>
              <w:bottom w:val="nil"/>
              <w:right w:val="nil"/>
            </w:tcBorders>
            <w:shd w:val="clear" w:color="auto" w:fill="auto"/>
            <w:noWrap/>
            <w:vAlign w:val="center"/>
          </w:tcPr>
          <w:p w14:paraId="2A80D9B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D0D6BA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F1D38E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FE5783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B893F4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14:paraId="50F8A159">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6DBFE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845" w:type="dxa"/>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BB82E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3543" w:type="dxa"/>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39C05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690" w:type="dxa"/>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251977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A107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845" w:type="dxa"/>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6D8FC1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543"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149509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914" w:type="dxa"/>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27804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824" w:type="dxa"/>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5B076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952" w:type="dxa"/>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53D05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EB31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45" w:type="dxa"/>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42CC90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543"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C286A9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914"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81CE65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824"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593105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952"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B4BEAE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597B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845" w:type="dxa"/>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C6566F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543"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22E8A6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914"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CB4942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824"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4FB10A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952"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68D871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D4DC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997" w:type="dxa"/>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DC3F09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424" w:type="dxa"/>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3ABDD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424" w:type="dxa"/>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54C5E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3543" w:type="dxa"/>
            <w:tcBorders>
              <w:top w:val="single" w:color="D4D4D4" w:sz="4" w:space="0"/>
              <w:left w:val="single" w:color="D4D4D4" w:sz="4" w:space="0"/>
              <w:bottom w:val="single" w:color="D4D4D4" w:sz="4" w:space="0"/>
              <w:right w:val="single" w:color="D4D4D4" w:sz="4" w:space="0"/>
            </w:tcBorders>
            <w:shd w:val="clear" w:color="auto" w:fill="F1F1F1"/>
            <w:vAlign w:val="center"/>
          </w:tcPr>
          <w:p w14:paraId="083A64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9773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2F2D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ADF77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B026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997"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37AA39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24"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F25568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424" w:type="dxa"/>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0FA7F0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543" w:type="dxa"/>
            <w:tcBorders>
              <w:top w:val="single" w:color="D4D4D4" w:sz="4" w:space="0"/>
              <w:left w:val="single" w:color="D4D4D4" w:sz="4" w:space="0"/>
              <w:bottom w:val="single" w:color="D4D4D4" w:sz="4" w:space="0"/>
              <w:right w:val="single" w:color="D4D4D4" w:sz="4" w:space="0"/>
            </w:tcBorders>
            <w:shd w:val="clear" w:color="auto" w:fill="F1F1F1"/>
            <w:vAlign w:val="center"/>
          </w:tcPr>
          <w:p w14:paraId="06A858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043B5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1,730,355.48</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6499D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834,779.32</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1E4C9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895,576.16</w:t>
            </w:r>
          </w:p>
        </w:tc>
      </w:tr>
      <w:tr w14:paraId="63534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D70DF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2070101</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B4DF7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F5F3DF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581,853.37</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479A2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526,913.37</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57E3F9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54,940.00</w:t>
            </w:r>
          </w:p>
        </w:tc>
      </w:tr>
      <w:tr w14:paraId="78660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550271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2070109</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45375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群众文化</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45BB7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326,641.28</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C0C7D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342D4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326,641.28</w:t>
            </w:r>
          </w:p>
        </w:tc>
      </w:tr>
      <w:tr w14:paraId="532FA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1F5DD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2070111</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14842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文化创作与保护</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CA18F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AB8881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718934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w:t>
            </w:r>
          </w:p>
        </w:tc>
      </w:tr>
      <w:tr w14:paraId="63492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FD61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281EC8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其他文化和旅游支出</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631DBB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A2C7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71826C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93,290.72</w:t>
            </w:r>
          </w:p>
        </w:tc>
      </w:tr>
      <w:tr w14:paraId="6E84F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A6E3D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48A5D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0B414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19522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7DF10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220,704.16</w:t>
            </w:r>
          </w:p>
        </w:tc>
      </w:tr>
      <w:tr w14:paraId="36291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E6862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E67719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8404A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0BF91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70,737.00</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E2B90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2797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211CC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B23D2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0531D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67,496.16</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DA038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67,496.16</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241A1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0C01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A1E96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134AF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A611C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89,158.55</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A16F0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89,158.55</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A4614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EAB4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6672C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5FE034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F029F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48,474.24</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2BF87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48,474.24</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31491E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AD76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7B97A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224F4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2CDFC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32,000.00</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5B56D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32,000.00</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DE105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464C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7"/>
            <w:tcBorders>
              <w:top w:val="single" w:color="D4D4D4" w:sz="4" w:space="0"/>
              <w:left w:val="nil"/>
              <w:bottom w:val="nil"/>
              <w:right w:val="nil"/>
            </w:tcBorders>
            <w:shd w:val="clear" w:color="auto" w:fill="FFFFFF"/>
            <w:noWrap/>
            <w:vAlign w:val="center"/>
          </w:tcPr>
          <w:p w14:paraId="459D129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注：本表反映单位本年度一般公共预算财政拨款支出情况。</w:t>
            </w:r>
          </w:p>
        </w:tc>
      </w:tr>
    </w:tbl>
    <w:p w14:paraId="6B76B34B">
      <w:pPr>
        <w:pStyle w:val="7"/>
        <w:widowControl/>
        <w:ind w:firstLine="640"/>
        <w:jc w:val="both"/>
        <w:rPr>
          <w:rFonts w:hint="eastAsia" w:ascii="黑体" w:hAnsi="宋体" w:eastAsia="黑体" w:cs="黑体"/>
          <w:color w:val="000000"/>
          <w:sz w:val="32"/>
          <w:szCs w:val="3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42"/>
        <w:gridCol w:w="2382"/>
        <w:gridCol w:w="938"/>
        <w:gridCol w:w="794"/>
        <w:gridCol w:w="1660"/>
        <w:gridCol w:w="866"/>
        <w:gridCol w:w="794"/>
        <w:gridCol w:w="3032"/>
        <w:gridCol w:w="866"/>
      </w:tblGrid>
      <w:tr w14:paraId="1206D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4730" w:type="pct"/>
            <w:gridSpan w:val="8"/>
            <w:tcBorders>
              <w:top w:val="nil"/>
              <w:left w:val="nil"/>
              <w:bottom w:val="nil"/>
              <w:right w:val="nil"/>
            </w:tcBorders>
            <w:shd w:val="clear" w:color="auto" w:fill="auto"/>
            <w:noWrap/>
            <w:vAlign w:val="center"/>
          </w:tcPr>
          <w:p w14:paraId="0974D7F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一般公共预算财政拨款基本支出决算明细表</w:t>
            </w:r>
          </w:p>
        </w:tc>
        <w:tc>
          <w:tcPr>
            <w:tcW w:w="269" w:type="pct"/>
            <w:tcBorders>
              <w:top w:val="nil"/>
              <w:left w:val="nil"/>
              <w:bottom w:val="nil"/>
              <w:right w:val="nil"/>
            </w:tcBorders>
            <w:shd w:val="clear" w:color="auto" w:fill="auto"/>
            <w:noWrap/>
            <w:vAlign w:val="center"/>
          </w:tcPr>
          <w:p w14:paraId="1EB5820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14:paraId="227DD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6" w:type="pct"/>
            <w:tcBorders>
              <w:top w:val="nil"/>
              <w:left w:val="nil"/>
              <w:bottom w:val="nil"/>
              <w:right w:val="nil"/>
            </w:tcBorders>
            <w:shd w:val="clear" w:color="auto" w:fill="auto"/>
            <w:noWrap/>
            <w:vAlign w:val="center"/>
          </w:tcPr>
          <w:p w14:paraId="6C8DB38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19" w:type="pct"/>
            <w:tcBorders>
              <w:top w:val="nil"/>
              <w:left w:val="nil"/>
              <w:bottom w:val="nil"/>
              <w:right w:val="nil"/>
            </w:tcBorders>
            <w:shd w:val="clear" w:color="auto" w:fill="auto"/>
            <w:noWrap/>
            <w:vAlign w:val="center"/>
          </w:tcPr>
          <w:p w14:paraId="60D5EAA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90" w:type="pct"/>
            <w:tcBorders>
              <w:top w:val="nil"/>
              <w:left w:val="nil"/>
              <w:bottom w:val="nil"/>
              <w:right w:val="nil"/>
            </w:tcBorders>
            <w:shd w:val="clear" w:color="auto" w:fill="auto"/>
            <w:noWrap/>
            <w:vAlign w:val="center"/>
          </w:tcPr>
          <w:p w14:paraId="42D0B28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47" w:type="pct"/>
            <w:tcBorders>
              <w:top w:val="nil"/>
              <w:left w:val="nil"/>
              <w:bottom w:val="nil"/>
              <w:right w:val="nil"/>
            </w:tcBorders>
            <w:shd w:val="clear" w:color="auto" w:fill="auto"/>
            <w:noWrap/>
            <w:vAlign w:val="center"/>
          </w:tcPr>
          <w:p w14:paraId="4542A04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87" w:type="pct"/>
            <w:tcBorders>
              <w:top w:val="nil"/>
              <w:left w:val="nil"/>
              <w:bottom w:val="nil"/>
              <w:right w:val="nil"/>
            </w:tcBorders>
            <w:shd w:val="clear" w:color="auto" w:fill="auto"/>
            <w:noWrap/>
            <w:vAlign w:val="center"/>
          </w:tcPr>
          <w:p w14:paraId="194E52A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69" w:type="pct"/>
            <w:tcBorders>
              <w:top w:val="nil"/>
              <w:left w:val="nil"/>
              <w:bottom w:val="nil"/>
              <w:right w:val="nil"/>
            </w:tcBorders>
            <w:shd w:val="clear" w:color="auto" w:fill="auto"/>
            <w:noWrap/>
            <w:vAlign w:val="center"/>
          </w:tcPr>
          <w:p w14:paraId="761EA5D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47" w:type="pct"/>
            <w:tcBorders>
              <w:top w:val="nil"/>
              <w:left w:val="nil"/>
              <w:bottom w:val="nil"/>
              <w:right w:val="nil"/>
            </w:tcBorders>
            <w:shd w:val="clear" w:color="auto" w:fill="auto"/>
            <w:noWrap/>
            <w:vAlign w:val="center"/>
          </w:tcPr>
          <w:p w14:paraId="599740C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912" w:type="pct"/>
            <w:tcBorders>
              <w:top w:val="nil"/>
              <w:left w:val="nil"/>
              <w:bottom w:val="nil"/>
              <w:right w:val="nil"/>
            </w:tcBorders>
            <w:shd w:val="clear" w:color="auto" w:fill="auto"/>
            <w:noWrap/>
            <w:vAlign w:val="center"/>
          </w:tcPr>
          <w:p w14:paraId="716AF2B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69" w:type="pct"/>
            <w:tcBorders>
              <w:top w:val="nil"/>
              <w:left w:val="nil"/>
              <w:bottom w:val="nil"/>
              <w:right w:val="nil"/>
            </w:tcBorders>
            <w:shd w:val="clear" w:color="auto" w:fill="auto"/>
            <w:noWrap/>
            <w:vAlign w:val="bottom"/>
          </w:tcPr>
          <w:p w14:paraId="11957536">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公开06表</w:t>
            </w:r>
          </w:p>
        </w:tc>
      </w:tr>
      <w:tr w14:paraId="31521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6" w:type="pct"/>
            <w:tcBorders>
              <w:top w:val="nil"/>
              <w:left w:val="nil"/>
              <w:bottom w:val="nil"/>
              <w:right w:val="nil"/>
            </w:tcBorders>
            <w:shd w:val="clear" w:color="auto" w:fill="auto"/>
            <w:noWrap/>
            <w:vAlign w:val="bottom"/>
          </w:tcPr>
          <w:p w14:paraId="6A1C9DCB">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部门：淮南市谢家集区文化和旅游局（本级）</w:t>
            </w:r>
          </w:p>
        </w:tc>
        <w:tc>
          <w:tcPr>
            <w:tcW w:w="719" w:type="pct"/>
            <w:tcBorders>
              <w:top w:val="nil"/>
              <w:left w:val="nil"/>
              <w:bottom w:val="nil"/>
              <w:right w:val="nil"/>
            </w:tcBorders>
            <w:shd w:val="clear" w:color="auto" w:fill="auto"/>
            <w:noWrap/>
            <w:vAlign w:val="center"/>
          </w:tcPr>
          <w:p w14:paraId="65ADFDF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90" w:type="pct"/>
            <w:tcBorders>
              <w:top w:val="nil"/>
              <w:left w:val="nil"/>
              <w:bottom w:val="nil"/>
              <w:right w:val="nil"/>
            </w:tcBorders>
            <w:shd w:val="clear" w:color="auto" w:fill="auto"/>
            <w:noWrap/>
            <w:vAlign w:val="center"/>
          </w:tcPr>
          <w:p w14:paraId="282996C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47" w:type="pct"/>
            <w:tcBorders>
              <w:top w:val="nil"/>
              <w:left w:val="nil"/>
              <w:bottom w:val="nil"/>
              <w:right w:val="nil"/>
            </w:tcBorders>
            <w:shd w:val="clear" w:color="auto" w:fill="auto"/>
            <w:noWrap/>
            <w:vAlign w:val="center"/>
          </w:tcPr>
          <w:p w14:paraId="4A80740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187" w:type="pct"/>
            <w:tcBorders>
              <w:top w:val="nil"/>
              <w:left w:val="nil"/>
              <w:bottom w:val="nil"/>
              <w:right w:val="nil"/>
            </w:tcBorders>
            <w:shd w:val="clear" w:color="auto" w:fill="auto"/>
            <w:noWrap/>
            <w:vAlign w:val="center"/>
          </w:tcPr>
          <w:p w14:paraId="617781B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69" w:type="pct"/>
            <w:tcBorders>
              <w:top w:val="nil"/>
              <w:left w:val="nil"/>
              <w:bottom w:val="nil"/>
              <w:right w:val="nil"/>
            </w:tcBorders>
            <w:shd w:val="clear" w:color="auto" w:fill="auto"/>
            <w:noWrap/>
            <w:vAlign w:val="center"/>
          </w:tcPr>
          <w:p w14:paraId="23BB2B9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47" w:type="pct"/>
            <w:tcBorders>
              <w:top w:val="nil"/>
              <w:left w:val="nil"/>
              <w:bottom w:val="nil"/>
              <w:right w:val="nil"/>
            </w:tcBorders>
            <w:shd w:val="clear" w:color="auto" w:fill="auto"/>
            <w:noWrap/>
            <w:vAlign w:val="center"/>
          </w:tcPr>
          <w:p w14:paraId="3ED0E10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912" w:type="pct"/>
            <w:tcBorders>
              <w:top w:val="nil"/>
              <w:left w:val="nil"/>
              <w:bottom w:val="nil"/>
              <w:right w:val="nil"/>
            </w:tcBorders>
            <w:shd w:val="clear" w:color="auto" w:fill="auto"/>
            <w:noWrap/>
            <w:vAlign w:val="center"/>
          </w:tcPr>
          <w:p w14:paraId="4D51131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269" w:type="pct"/>
            <w:tcBorders>
              <w:top w:val="nil"/>
              <w:left w:val="nil"/>
              <w:bottom w:val="nil"/>
              <w:right w:val="nil"/>
            </w:tcBorders>
            <w:shd w:val="clear" w:color="auto" w:fill="auto"/>
            <w:noWrap/>
            <w:vAlign w:val="bottom"/>
          </w:tcPr>
          <w:p w14:paraId="6FD52EDF">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10528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866"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4B151A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3133" w:type="pct"/>
            <w:gridSpan w:val="6"/>
            <w:tcBorders>
              <w:top w:val="single" w:color="D4D4D4" w:sz="4" w:space="0"/>
              <w:left w:val="single" w:color="D4D4D4" w:sz="4" w:space="0"/>
              <w:bottom w:val="single" w:color="D4D4D4" w:sz="4" w:space="0"/>
              <w:right w:val="single" w:color="D4D4D4" w:sz="4" w:space="0"/>
            </w:tcBorders>
            <w:shd w:val="clear" w:color="auto" w:fill="F1F1F1"/>
            <w:vAlign w:val="center"/>
          </w:tcPr>
          <w:p w14:paraId="277478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603A6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56"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61104C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719"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6EB40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90"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97684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247"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6C4C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18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D4B38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69"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D625A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247"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2A1F5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34FA8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69"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C1C69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0CA77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56"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47C02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71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1A2141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90"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395C2A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47"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3EBC1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18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0D1D52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6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B735A5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47"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02851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91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E7F764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26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4BDD77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3DF7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F7DA2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926B8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22AB3F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743,994.55</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A2F54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457FD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95C78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10,047.77</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3ECEC2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30703</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CD4368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国内债务发行费用</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A31BBF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569E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177FE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6369B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582E28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160,372.00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A0B49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6769F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31191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4,893.00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27254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30704</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C44B1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国外债务发行费用</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E793DA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1E0F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510EE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76302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5C027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145,295.00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705EE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80915A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811C5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3DFFED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620F6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1B3F9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1A6C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36199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6411E1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052E4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162,895.00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8B395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A6AFE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9867C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64F1C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BE2D7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0B27D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06D1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227ED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07675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BE17D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AC462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63122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67049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3C424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99D1B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AFDB9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1AD5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4297B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B49F5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16C87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CC2AE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CE3E1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14BFCD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40985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2CCEB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1BFA0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2C8D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A6B04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802E22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0FFDD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93,985.49</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399A8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5006C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9E12C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91691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DD761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5AE2DD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C796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EAB19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1C5A0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F2DB4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89,158.55</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409B3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2D74C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EED58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64369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AAC2D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6CAD9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3E53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1AD0E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DDE5F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736BC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31,972.60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0DD77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E426D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64F7D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2569F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00257E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88777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1A87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39908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2DEB1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A008E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10,914.93</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DD5D7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86A63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DD91C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DCD7E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6D0D56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3EE238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5A44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73D0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AC9B9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85CCB5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926.74</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159EB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95837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0FEA3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21.77</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994406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0F137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E707FC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A491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B2E9E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1DD30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A0387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48,474.24</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72184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547536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38B8C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7205B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4E0B9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F081E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04DB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F9EAA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5A59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59D108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25EF1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05540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EA0B5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D0FCE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1231C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78789B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B262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B8B72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1B7D4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772D9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DC75E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B8384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154BE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DA604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DF122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6C370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4591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6D112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4B232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33224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80,737.00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F29B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C5DE1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E45DB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B5C09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5B86C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79051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E8A5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33C75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514E8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10176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878BA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FF4C7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61FB9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2,262.00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3D5E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F5142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A857C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70CF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62C3A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4D46ED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72B32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80,737.00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E73F6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7F534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28BA2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D32C1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9D9251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4FA0F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933F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7769D4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8115C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A5EB5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E6CCA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632B3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53FEA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924E2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84E52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043BF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BE92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3545B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47234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343D0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45A1A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A8787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35457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9CBDA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02A5B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57D3D2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C6D1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041819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8827B7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1A2F14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EC03F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33EB6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FE9D9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3D989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EA3C51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对企业补助</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6989B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56C7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FD0F3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5614B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C91F54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91FE4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DED56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E8ED5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482DC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31201</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4B6B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资本金注入</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AC3BA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6EA75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2DE8E7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2C128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AF695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05E81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C7FAE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3C7F3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3F140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31203</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45C17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政府投资基金股权投资</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5352D09">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52D6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7DA46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3589E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9DD35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174F2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708D2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3A9A0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8A494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31204</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6BC24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费用补贴</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3E006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749CE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4D60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3553CF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E506F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FF47A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3AF3B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DD709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AD30C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31205</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07B44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利息补贴</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CD0B35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1F2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39162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1264A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AC34D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1C6B4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963CC2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C11E4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FFF7D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31299 </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4E4B0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其他对企业补助</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C696D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AB74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77641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90CD2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53900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A8076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F7932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202F1A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2,171.00</w:t>
            </w: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2C70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0C842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D0CC5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379A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5C981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A9794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0B5ADC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7FAD28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37D390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75DE7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0FE81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5BB35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B27BC8">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9174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99972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1337C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30059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6D946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972C6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F136B2">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5FB2B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75034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8E4A9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474CA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978E00">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7E6D8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73D114">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1319C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67CCC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B6342A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69655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5C2BD0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0D0EB8D">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31FAA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02F2F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61FFE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5D9C98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8A0F7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D4DB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7F07C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824BE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CE062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842FE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9B63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98CC0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71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773C57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2BE0D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0"/>
                <w:szCs w:val="20"/>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24C0E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118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8435A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6DDE9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24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3EBAC1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91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0AB5B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620097">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C4E6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75"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984D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29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F39D9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824,731.55</w:t>
            </w:r>
          </w:p>
        </w:tc>
        <w:tc>
          <w:tcPr>
            <w:tcW w:w="286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1004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26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0E236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10,047.77</w:t>
            </w:r>
          </w:p>
        </w:tc>
      </w:tr>
      <w:tr w14:paraId="0661D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9"/>
            <w:tcBorders>
              <w:top w:val="single" w:color="D4D4D4" w:sz="4" w:space="0"/>
              <w:left w:val="nil"/>
              <w:bottom w:val="nil"/>
              <w:right w:val="nil"/>
            </w:tcBorders>
            <w:shd w:val="clear" w:color="auto" w:fill="FFFFFF"/>
            <w:vAlign w:val="center"/>
          </w:tcPr>
          <w:p w14:paraId="6ED7473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注：本表反映单位本年度一般公共预算财政拨款基本支出明细情况。</w:t>
            </w:r>
          </w:p>
        </w:tc>
      </w:tr>
    </w:tbl>
    <w:p w14:paraId="01B29FD9">
      <w:pPr>
        <w:pStyle w:val="7"/>
        <w:widowControl/>
        <w:ind w:firstLine="640"/>
        <w:jc w:val="both"/>
        <w:rPr>
          <w:rFonts w:hint="eastAsia" w:ascii="黑体" w:hAnsi="宋体" w:eastAsia="黑体" w:cs="黑体"/>
          <w:color w:val="000000"/>
          <w:sz w:val="32"/>
          <w:szCs w:val="3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16"/>
        <w:gridCol w:w="436"/>
        <w:gridCol w:w="436"/>
        <w:gridCol w:w="436"/>
        <w:gridCol w:w="436"/>
        <w:gridCol w:w="436"/>
        <w:gridCol w:w="436"/>
        <w:gridCol w:w="436"/>
        <w:gridCol w:w="2793"/>
        <w:gridCol w:w="436"/>
        <w:gridCol w:w="436"/>
        <w:gridCol w:w="436"/>
        <w:gridCol w:w="437"/>
        <w:gridCol w:w="437"/>
        <w:gridCol w:w="437"/>
        <w:gridCol w:w="437"/>
        <w:gridCol w:w="1057"/>
      </w:tblGrid>
      <w:tr w14:paraId="4EA2F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000" w:type="pct"/>
            <w:gridSpan w:val="17"/>
            <w:tcBorders>
              <w:top w:val="nil"/>
              <w:left w:val="nil"/>
              <w:bottom w:val="nil"/>
              <w:right w:val="nil"/>
            </w:tcBorders>
            <w:shd w:val="clear" w:color="auto" w:fill="auto"/>
            <w:noWrap/>
            <w:vAlign w:val="center"/>
          </w:tcPr>
          <w:p w14:paraId="37BA56C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政府性基金预算财政拨款收入支出决算表</w:t>
            </w:r>
          </w:p>
        </w:tc>
      </w:tr>
      <w:tr w14:paraId="20697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88" w:type="pct"/>
            <w:tcBorders>
              <w:top w:val="nil"/>
              <w:left w:val="nil"/>
              <w:bottom w:val="nil"/>
              <w:right w:val="nil"/>
            </w:tcBorders>
            <w:shd w:val="clear" w:color="auto" w:fill="auto"/>
            <w:noWrap/>
            <w:vAlign w:val="center"/>
          </w:tcPr>
          <w:p w14:paraId="3F14BA9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E82384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9BBA9F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6B61E72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089F399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1B61354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44A9AEB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5A385E6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578" w:type="pct"/>
            <w:tcBorders>
              <w:top w:val="nil"/>
              <w:left w:val="nil"/>
              <w:bottom w:val="nil"/>
              <w:right w:val="nil"/>
            </w:tcBorders>
            <w:shd w:val="clear" w:color="auto" w:fill="auto"/>
            <w:noWrap/>
            <w:vAlign w:val="center"/>
          </w:tcPr>
          <w:p w14:paraId="26F50DA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3930BD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1F59724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860C04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A6834C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0B0DFE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7BFE06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5F2267E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10" w:type="pct"/>
            <w:tcBorders>
              <w:top w:val="nil"/>
              <w:left w:val="nil"/>
              <w:bottom w:val="nil"/>
              <w:right w:val="nil"/>
            </w:tcBorders>
            <w:shd w:val="clear" w:color="auto" w:fill="auto"/>
            <w:noWrap/>
            <w:vAlign w:val="bottom"/>
          </w:tcPr>
          <w:p w14:paraId="5BCC58B4">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公开07表</w:t>
            </w:r>
          </w:p>
        </w:tc>
      </w:tr>
      <w:tr w14:paraId="6A6F1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88" w:type="pct"/>
            <w:tcBorders>
              <w:top w:val="nil"/>
              <w:left w:val="nil"/>
              <w:bottom w:val="nil"/>
              <w:right w:val="nil"/>
            </w:tcBorders>
            <w:shd w:val="clear" w:color="auto" w:fill="auto"/>
            <w:noWrap/>
            <w:vAlign w:val="bottom"/>
          </w:tcPr>
          <w:p w14:paraId="113A3058">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部门：淮南市谢家集区文化和旅游局（本级）</w:t>
            </w:r>
          </w:p>
        </w:tc>
        <w:tc>
          <w:tcPr>
            <w:tcW w:w="137" w:type="pct"/>
            <w:tcBorders>
              <w:top w:val="nil"/>
              <w:left w:val="nil"/>
              <w:bottom w:val="nil"/>
              <w:right w:val="nil"/>
            </w:tcBorders>
            <w:shd w:val="clear" w:color="auto" w:fill="auto"/>
            <w:noWrap/>
            <w:vAlign w:val="center"/>
          </w:tcPr>
          <w:p w14:paraId="5D119F8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50BA0A4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3240144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8E0856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5E26775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CD432B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3142E21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578" w:type="pct"/>
            <w:tcBorders>
              <w:top w:val="nil"/>
              <w:left w:val="nil"/>
              <w:bottom w:val="nil"/>
              <w:right w:val="nil"/>
            </w:tcBorders>
            <w:shd w:val="clear" w:color="auto" w:fill="auto"/>
            <w:noWrap/>
            <w:vAlign w:val="center"/>
          </w:tcPr>
          <w:p w14:paraId="2F191F2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F128BD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9D1D60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5FE19B8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AE55E0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63B53B6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7CCC6B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4860F9B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10" w:type="pct"/>
            <w:tcBorders>
              <w:top w:val="nil"/>
              <w:left w:val="nil"/>
              <w:bottom w:val="nil"/>
              <w:right w:val="nil"/>
            </w:tcBorders>
            <w:shd w:val="clear" w:color="auto" w:fill="auto"/>
            <w:noWrap/>
            <w:vAlign w:val="bottom"/>
          </w:tcPr>
          <w:p w14:paraId="6B039B07">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3F6BA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463"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64D2B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82312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11"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75FD43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852"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234DBF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412"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25DCB9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722"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746611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74ADE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46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0EC109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9FB96F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EDE78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2DFF3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基本支出结转</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36F42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项目支出结转和结余</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9CD79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578"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0E353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AC920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8B241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2B70B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7D675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FCC2C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379EB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基本支出结转</w:t>
            </w:r>
          </w:p>
        </w:tc>
        <w:tc>
          <w:tcPr>
            <w:tcW w:w="447" w:type="pct"/>
            <w:gridSpan w:val="2"/>
            <w:tcBorders>
              <w:top w:val="single" w:color="D4D4D4" w:sz="4" w:space="0"/>
              <w:left w:val="single" w:color="D4D4D4" w:sz="4" w:space="0"/>
              <w:bottom w:val="single" w:color="D4D4D4" w:sz="4" w:space="0"/>
              <w:right w:val="single" w:color="D4D4D4" w:sz="4" w:space="0"/>
            </w:tcBorders>
            <w:shd w:val="clear" w:color="auto" w:fill="F1F1F1"/>
            <w:vAlign w:val="center"/>
          </w:tcPr>
          <w:p w14:paraId="656F729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项目支出结转和结余</w:t>
            </w:r>
          </w:p>
        </w:tc>
      </w:tr>
      <w:tr w14:paraId="75A39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46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5CC7EB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69FD0C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5AF3C3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B1094E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A1055E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25C036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578"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CBB28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231451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F66712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F189AF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9EC741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1B4F88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983722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6E95D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项目支出结转</w:t>
            </w:r>
          </w:p>
        </w:tc>
        <w:tc>
          <w:tcPr>
            <w:tcW w:w="310"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2104F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项目支出结余</w:t>
            </w:r>
          </w:p>
        </w:tc>
      </w:tr>
      <w:tr w14:paraId="34BFB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6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420685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08CA4D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D0ED47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F83045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873A68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19D847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578"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7DC26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9276EB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DBD09E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7F18D5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0F4CBD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165FEB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664FA4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F7A819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310"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094592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E3A6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88"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EBEC3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60B23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13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0BA27E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37"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1C99D3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A430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5BE7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3A3A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7344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7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5AAF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699E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C232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19EE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39BF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6736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425F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3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7CDB5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10"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5CFA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36E23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188"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DDACC8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6A6CBE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DD270F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904CD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F0597F">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FC2A48">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9CF025">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F77816">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57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DD695D">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612415">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E0719F">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907ED2">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76D5FB">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D63F78">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54A9C4B">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7AE4E0">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c>
          <w:tcPr>
            <w:tcW w:w="31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B017D76">
            <w:pPr>
              <w:keepNext w:val="0"/>
              <w:keepLines w:val="0"/>
              <w:suppressLineNumbers w:val="0"/>
              <w:spacing w:before="0" w:beforeAutospacing="0" w:after="0" w:afterAutospacing="0"/>
              <w:ind w:left="0" w:right="0"/>
              <w:jc w:val="right"/>
              <w:rPr>
                <w:rFonts w:hint="eastAsia" w:ascii="宋体" w:hAnsi="宋体" w:eastAsia="宋体" w:cs="宋体"/>
                <w:b/>
                <w:bCs/>
                <w:i w:val="0"/>
                <w:iCs w:val="0"/>
                <w:color w:val="000000"/>
                <w:sz w:val="22"/>
                <w:szCs w:val="22"/>
                <w:u w:val="none"/>
              </w:rPr>
            </w:pPr>
          </w:p>
        </w:tc>
      </w:tr>
      <w:tr w14:paraId="2CE71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46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35CDC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2677D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9A843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F4FC06">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3E973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539611">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57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3487BE">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5B23A5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63515EB">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3D817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CF2100">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E31E1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6899F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13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4431A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310"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B4E94F5">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0FD35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17"/>
            <w:tcBorders>
              <w:top w:val="single" w:color="D4D4D4" w:sz="4" w:space="0"/>
              <w:left w:val="nil"/>
              <w:bottom w:val="nil"/>
              <w:right w:val="nil"/>
            </w:tcBorders>
            <w:shd w:val="clear" w:color="auto" w:fill="FFFFFF"/>
            <w:noWrap/>
            <w:vAlign w:val="center"/>
          </w:tcPr>
          <w:p w14:paraId="36E488B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注：本表反映单位本年度政府性基金预算财政拨款收入、支出及结转和结余情况。</w:t>
            </w:r>
          </w:p>
        </w:tc>
      </w:tr>
      <w:tr w14:paraId="6E56C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17"/>
            <w:tcBorders>
              <w:top w:val="nil"/>
              <w:left w:val="nil"/>
              <w:bottom w:val="nil"/>
              <w:right w:val="nil"/>
            </w:tcBorders>
            <w:shd w:val="clear" w:color="auto" w:fill="FFFFFF"/>
            <w:vAlign w:val="center"/>
          </w:tcPr>
          <w:p w14:paraId="51F75C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说明：淮南市谢家集区文化和旅游局（本级）没有政府性基金预算收入，也没有使用政府性基金预算安排的支出，故本表无数据。</w:t>
            </w:r>
          </w:p>
        </w:tc>
      </w:tr>
      <w:tr w14:paraId="6C540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88" w:type="pct"/>
            <w:tcBorders>
              <w:top w:val="nil"/>
              <w:left w:val="nil"/>
              <w:bottom w:val="nil"/>
              <w:right w:val="nil"/>
            </w:tcBorders>
            <w:shd w:val="clear" w:color="auto" w:fill="auto"/>
            <w:noWrap/>
            <w:vAlign w:val="center"/>
          </w:tcPr>
          <w:p w14:paraId="1903AC7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079D7FC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8DF3BB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6613BFA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55D4F34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3C177B8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5B0A20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6B3F4F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578" w:type="pct"/>
            <w:tcBorders>
              <w:top w:val="nil"/>
              <w:left w:val="nil"/>
              <w:bottom w:val="nil"/>
              <w:right w:val="nil"/>
            </w:tcBorders>
            <w:shd w:val="clear" w:color="auto" w:fill="auto"/>
            <w:noWrap/>
            <w:vAlign w:val="center"/>
          </w:tcPr>
          <w:p w14:paraId="7B4B3D2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3733998">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52AB714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1C4F998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0CD9F52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6A70D56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74AE8D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5F0CCB4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10" w:type="pct"/>
            <w:tcBorders>
              <w:top w:val="nil"/>
              <w:left w:val="nil"/>
              <w:bottom w:val="nil"/>
              <w:right w:val="nil"/>
            </w:tcBorders>
            <w:shd w:val="clear" w:color="auto" w:fill="auto"/>
            <w:noWrap/>
            <w:vAlign w:val="center"/>
          </w:tcPr>
          <w:p w14:paraId="79BD489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14:paraId="0508C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88" w:type="pct"/>
            <w:tcBorders>
              <w:top w:val="nil"/>
              <w:left w:val="nil"/>
              <w:bottom w:val="nil"/>
              <w:right w:val="nil"/>
            </w:tcBorders>
            <w:shd w:val="clear" w:color="auto" w:fill="auto"/>
            <w:noWrap/>
            <w:vAlign w:val="center"/>
          </w:tcPr>
          <w:p w14:paraId="4D604D36">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F20EEB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30065E5E">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0EC2AC9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23FC4DF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5F3558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42B2F8B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0DDCD49A">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578" w:type="pct"/>
            <w:tcBorders>
              <w:top w:val="nil"/>
              <w:left w:val="nil"/>
              <w:bottom w:val="nil"/>
              <w:right w:val="nil"/>
            </w:tcBorders>
            <w:shd w:val="clear" w:color="auto" w:fill="auto"/>
            <w:noWrap/>
            <w:vAlign w:val="bottom"/>
          </w:tcPr>
          <w:p w14:paraId="72889730">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7.1 —</w:t>
            </w:r>
          </w:p>
        </w:tc>
        <w:tc>
          <w:tcPr>
            <w:tcW w:w="137" w:type="pct"/>
            <w:tcBorders>
              <w:top w:val="nil"/>
              <w:left w:val="nil"/>
              <w:bottom w:val="nil"/>
              <w:right w:val="nil"/>
            </w:tcBorders>
            <w:shd w:val="clear" w:color="auto" w:fill="auto"/>
            <w:noWrap/>
            <w:vAlign w:val="center"/>
          </w:tcPr>
          <w:p w14:paraId="36F6BE39">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07C126CB">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5FAFB1B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ABFD66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4CEE580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77E0D3AF">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14:paraId="0E5A4012">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310" w:type="pct"/>
            <w:tcBorders>
              <w:top w:val="nil"/>
              <w:left w:val="nil"/>
              <w:bottom w:val="nil"/>
              <w:right w:val="nil"/>
            </w:tcBorders>
            <w:shd w:val="clear" w:color="auto" w:fill="auto"/>
            <w:noWrap/>
            <w:vAlign w:val="center"/>
          </w:tcPr>
          <w:p w14:paraId="3F9A18C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bl>
    <w:p w14:paraId="725039DE">
      <w:pPr>
        <w:pStyle w:val="7"/>
        <w:widowControl/>
        <w:ind w:firstLine="640"/>
        <w:jc w:val="both"/>
        <w:rPr>
          <w:rFonts w:hint="eastAsia" w:ascii="黑体" w:hAnsi="宋体" w:eastAsia="黑体" w:cs="黑体"/>
          <w:color w:val="000000"/>
          <w:sz w:val="32"/>
          <w:szCs w:val="32"/>
        </w:rPr>
      </w:pPr>
    </w:p>
    <w:tbl>
      <w:tblPr>
        <w:tblStyle w:val="3"/>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71"/>
        <w:gridCol w:w="680"/>
        <w:gridCol w:w="680"/>
        <w:gridCol w:w="1708"/>
        <w:gridCol w:w="1022"/>
        <w:gridCol w:w="1708"/>
        <w:gridCol w:w="1709"/>
      </w:tblGrid>
      <w:tr w14:paraId="1C1F6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078" w:type="dxa"/>
            <w:gridSpan w:val="7"/>
            <w:tcBorders>
              <w:top w:val="nil"/>
              <w:left w:val="nil"/>
              <w:bottom w:val="nil"/>
              <w:right w:val="nil"/>
            </w:tcBorders>
            <w:shd w:val="clear" w:color="auto" w:fill="auto"/>
            <w:noWrap/>
            <w:vAlign w:val="center"/>
          </w:tcPr>
          <w:p w14:paraId="34975B1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lang w:val="en-US" w:eastAsia="zh-CN" w:bidi="ar"/>
              </w:rPr>
              <w:t>国有资本经营预算财政拨款支出决算表</w:t>
            </w:r>
          </w:p>
        </w:tc>
      </w:tr>
      <w:tr w14:paraId="1E951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nil"/>
              <w:left w:val="nil"/>
              <w:bottom w:val="nil"/>
              <w:right w:val="nil"/>
            </w:tcBorders>
            <w:shd w:val="clear" w:color="auto" w:fill="auto"/>
            <w:noWrap/>
            <w:vAlign w:val="center"/>
          </w:tcPr>
          <w:p w14:paraId="5AC37961">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B9DF71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DC6241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8E100E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954E85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4B8FB17">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14:paraId="08BA809F">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公开08表</w:t>
            </w:r>
          </w:p>
        </w:tc>
      </w:tr>
      <w:tr w14:paraId="211B3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nil"/>
              <w:left w:val="nil"/>
              <w:bottom w:val="nil"/>
              <w:right w:val="nil"/>
            </w:tcBorders>
            <w:shd w:val="clear" w:color="auto" w:fill="auto"/>
            <w:noWrap/>
            <w:vAlign w:val="bottom"/>
          </w:tcPr>
          <w:p w14:paraId="4656880E">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部门：淮南市谢家集区文化和旅游局（本级）</w:t>
            </w:r>
          </w:p>
        </w:tc>
        <w:tc>
          <w:tcPr>
            <w:tcW w:w="0" w:type="auto"/>
            <w:tcBorders>
              <w:top w:val="nil"/>
              <w:left w:val="nil"/>
              <w:bottom w:val="nil"/>
              <w:right w:val="nil"/>
            </w:tcBorders>
            <w:shd w:val="clear" w:color="auto" w:fill="auto"/>
            <w:noWrap/>
            <w:vAlign w:val="center"/>
          </w:tcPr>
          <w:p w14:paraId="6986D620">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CB387AD">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77CEEFC">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A53AA44">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5A23825">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14:paraId="579F0536">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金额单位：元</w:t>
            </w:r>
          </w:p>
        </w:tc>
      </w:tr>
      <w:tr w14:paraId="49714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4499" w:type="dxa"/>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89FF3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E124E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435C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01584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499" w:type="dxa"/>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0FAE2A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448C1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8B25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D744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6D90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7752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499" w:type="dxa"/>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242533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D9994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DD6FCA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C26F1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48443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5D1D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28CA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542F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E50EB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9414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E7864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DB09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3560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C7E6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76D46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8C8C6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0A7AB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CAD9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D1660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7B19AA">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901DB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1E1EC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FBB25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AEF809">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A7DF5C">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E3DAEB3">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7C61EF">
            <w:pPr>
              <w:keepNext w:val="0"/>
              <w:keepLines w:val="0"/>
              <w:suppressLineNumbers w:val="0"/>
              <w:spacing w:before="0" w:beforeAutospacing="0" w:after="0" w:afterAutospacing="0"/>
              <w:ind w:left="0" w:right="0"/>
              <w:jc w:val="right"/>
              <w:rPr>
                <w:rFonts w:hint="eastAsia" w:ascii="宋体" w:hAnsi="宋体" w:eastAsia="宋体" w:cs="宋体"/>
                <w:i w:val="0"/>
                <w:iCs w:val="0"/>
                <w:color w:val="000000"/>
                <w:sz w:val="22"/>
                <w:szCs w:val="22"/>
                <w:u w:val="none"/>
              </w:rPr>
            </w:pPr>
          </w:p>
        </w:tc>
      </w:tr>
      <w:tr w14:paraId="50CD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gridSpan w:val="7"/>
            <w:tcBorders>
              <w:top w:val="single" w:color="D4D4D4" w:sz="4" w:space="0"/>
              <w:left w:val="nil"/>
              <w:bottom w:val="nil"/>
              <w:right w:val="nil"/>
            </w:tcBorders>
            <w:shd w:val="clear" w:color="auto" w:fill="FFFFFF"/>
            <w:noWrap/>
            <w:vAlign w:val="center"/>
          </w:tcPr>
          <w:p w14:paraId="4C3AE19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注：本表反映单位本年度国有资本经营预算财政拨款支出情况。</w:t>
            </w:r>
          </w:p>
        </w:tc>
      </w:tr>
      <w:tr w14:paraId="43DB7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4078" w:type="dxa"/>
            <w:gridSpan w:val="7"/>
            <w:tcBorders>
              <w:top w:val="nil"/>
              <w:left w:val="nil"/>
              <w:bottom w:val="nil"/>
              <w:right w:val="nil"/>
            </w:tcBorders>
            <w:shd w:val="clear" w:color="auto" w:fill="FFFFFF"/>
            <w:vAlign w:val="center"/>
          </w:tcPr>
          <w:p w14:paraId="0F98667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说明：淮南市谢家集区文化和旅游局（本级）没有使用国有资本经营预算安排的支出，故本表无数据。</w:t>
            </w:r>
          </w:p>
        </w:tc>
      </w:tr>
    </w:tbl>
    <w:p w14:paraId="17616A18">
      <w:pPr>
        <w:pStyle w:val="7"/>
        <w:widowControl/>
        <w:ind w:firstLine="640"/>
        <w:jc w:val="both"/>
        <w:rPr>
          <w:rFonts w:hint="eastAsia" w:ascii="黑体" w:hAnsi="宋体" w:eastAsia="黑体" w:cs="黑体"/>
          <w:color w:val="000000"/>
          <w:sz w:val="32"/>
          <w:szCs w:val="32"/>
        </w:rPr>
        <w:sectPr>
          <w:pgSz w:w="16838" w:h="11906" w:orient="landscape"/>
          <w:pgMar w:top="1803" w:right="1440" w:bottom="1803" w:left="1440" w:header="851" w:footer="992" w:gutter="0"/>
          <w:cols w:space="0" w:num="1"/>
          <w:rtlGutter w:val="0"/>
          <w:docGrid w:type="lines" w:linePitch="319" w:charSpace="0"/>
        </w:sectPr>
      </w:pPr>
    </w:p>
    <w:p w14:paraId="61866200">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第三部分 淮南市谢家集区</w:t>
      </w:r>
      <w:r>
        <w:rPr>
          <w:rFonts w:hint="eastAsia" w:ascii="黑体" w:hAnsi="宋体" w:eastAsia="黑体" w:cs="黑体"/>
          <w:color w:val="000000"/>
          <w:sz w:val="32"/>
          <w:szCs w:val="32"/>
          <w:lang w:eastAsia="zh-CN"/>
        </w:rPr>
        <w:t>文化旅游局</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年度部门决算情况说明</w:t>
      </w:r>
    </w:p>
    <w:p w14:paraId="6AB17CCC">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一、收入支出决算总体情况说明</w:t>
      </w:r>
    </w:p>
    <w:p w14:paraId="58B75650">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年度收入总计</w:t>
      </w:r>
      <w:r>
        <w:rPr>
          <w:rFonts w:hint="eastAsia" w:ascii="仿宋_GB2312" w:eastAsia="仿宋_GB2312" w:cs="仿宋_GB2312"/>
          <w:color w:val="000000"/>
          <w:sz w:val="32"/>
          <w:szCs w:val="32"/>
          <w:lang w:val="en-US" w:eastAsia="zh-CN"/>
        </w:rPr>
        <w:t>183.16</w:t>
      </w:r>
      <w:r>
        <w:rPr>
          <w:rFonts w:ascii="仿宋_GB2312" w:eastAsia="仿宋_GB2312" w:cs="仿宋_GB2312"/>
          <w:color w:val="000000"/>
          <w:sz w:val="32"/>
          <w:szCs w:val="32"/>
        </w:rPr>
        <w:t>万元（含使用非财政拨款结转结余和年初结转结余）、支出总计</w:t>
      </w:r>
      <w:r>
        <w:rPr>
          <w:rFonts w:hint="eastAsia" w:ascii="仿宋_GB2312" w:eastAsia="仿宋_GB2312" w:cs="仿宋_GB2312"/>
          <w:color w:val="000000"/>
          <w:sz w:val="32"/>
          <w:szCs w:val="32"/>
          <w:lang w:val="en-US" w:eastAsia="zh-CN"/>
        </w:rPr>
        <w:t>183.16</w:t>
      </w:r>
      <w:r>
        <w:rPr>
          <w:rFonts w:ascii="仿宋_GB2312" w:eastAsia="仿宋_GB2312" w:cs="仿宋_GB2312"/>
          <w:color w:val="000000"/>
          <w:sz w:val="32"/>
          <w:szCs w:val="32"/>
        </w:rPr>
        <w:t>万元（含结余分配和年末结转结余）。与20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年相比，收、支总计各减少</w:t>
      </w:r>
      <w:r>
        <w:rPr>
          <w:rFonts w:hint="eastAsia" w:ascii="仿宋_GB2312" w:eastAsia="仿宋_GB2312" w:cs="仿宋_GB2312"/>
          <w:color w:val="000000"/>
          <w:sz w:val="32"/>
          <w:szCs w:val="32"/>
          <w:lang w:val="en-US" w:eastAsia="zh-CN"/>
        </w:rPr>
        <w:t>173.73</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下降</w:t>
      </w:r>
      <w:r>
        <w:rPr>
          <w:rFonts w:hint="eastAsia" w:ascii="仿宋_GB2312" w:eastAsia="仿宋_GB2312" w:cs="仿宋_GB2312"/>
          <w:color w:val="000000"/>
          <w:sz w:val="32"/>
          <w:szCs w:val="32"/>
          <w:lang w:val="en-US" w:eastAsia="zh-CN"/>
        </w:rPr>
        <w:t>49</w:t>
      </w:r>
      <w:r>
        <w:rPr>
          <w:rFonts w:ascii="仿宋_GB2312" w:eastAsia="仿宋_GB2312" w:cs="仿宋_GB2312"/>
          <w:color w:val="000000"/>
          <w:sz w:val="32"/>
          <w:szCs w:val="32"/>
        </w:rPr>
        <w:t>%，主要原因：一是</w:t>
      </w:r>
      <w:r>
        <w:rPr>
          <w:rFonts w:hint="eastAsia" w:ascii="仿宋" w:hAnsi="仿宋" w:eastAsia="仿宋" w:cs="仿宋"/>
          <w:color w:val="000000"/>
          <w:sz w:val="32"/>
          <w:szCs w:val="32"/>
          <w:lang w:eastAsia="zh-CN"/>
        </w:rPr>
        <w:t>文旅活动减少</w:t>
      </w:r>
      <w:r>
        <w:rPr>
          <w:rFonts w:ascii="仿宋_GB2312" w:eastAsia="仿宋_GB2312" w:cs="仿宋_GB2312"/>
          <w:color w:val="000000"/>
          <w:sz w:val="32"/>
          <w:szCs w:val="32"/>
        </w:rPr>
        <w:t>；二是</w:t>
      </w:r>
      <w:r>
        <w:rPr>
          <w:rFonts w:hint="eastAsia" w:ascii="仿宋" w:hAnsi="仿宋" w:eastAsia="仿宋" w:cs="仿宋"/>
          <w:color w:val="000000"/>
          <w:sz w:val="32"/>
          <w:szCs w:val="32"/>
          <w:lang w:eastAsia="zh-CN"/>
        </w:rPr>
        <w:t>人员减少</w:t>
      </w:r>
      <w:r>
        <w:rPr>
          <w:rFonts w:ascii="仿宋_GB2312" w:eastAsia="仿宋_GB2312" w:cs="仿宋_GB2312"/>
          <w:color w:val="000000"/>
          <w:sz w:val="32"/>
          <w:szCs w:val="32"/>
        </w:rPr>
        <w:t>。</w:t>
      </w:r>
    </w:p>
    <w:p w14:paraId="30DC66C8">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二、收入决算情况说明</w:t>
      </w:r>
    </w:p>
    <w:p w14:paraId="7A93C7EA">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年度收入合计</w:t>
      </w:r>
      <w:r>
        <w:rPr>
          <w:rFonts w:hint="eastAsia" w:ascii="仿宋_GB2312" w:eastAsia="仿宋_GB2312" w:cs="仿宋_GB2312"/>
          <w:color w:val="000000"/>
          <w:sz w:val="32"/>
          <w:szCs w:val="32"/>
          <w:lang w:val="en-US" w:eastAsia="zh-CN"/>
        </w:rPr>
        <w:t>181.74</w:t>
      </w:r>
      <w:r>
        <w:rPr>
          <w:rFonts w:ascii="仿宋_GB2312" w:eastAsia="仿宋_GB2312" w:cs="仿宋_GB2312"/>
          <w:color w:val="000000"/>
          <w:sz w:val="32"/>
          <w:szCs w:val="32"/>
        </w:rPr>
        <w:t>万元，其中：财政拨款收入</w:t>
      </w:r>
      <w:r>
        <w:rPr>
          <w:rFonts w:hint="eastAsia" w:ascii="仿宋_GB2312" w:eastAsia="仿宋_GB2312" w:cs="仿宋_GB2312"/>
          <w:color w:val="000000"/>
          <w:sz w:val="32"/>
          <w:szCs w:val="32"/>
          <w:lang w:val="en-US" w:eastAsia="zh-CN"/>
        </w:rPr>
        <w:t>173.04</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92</w:t>
      </w:r>
      <w:r>
        <w:rPr>
          <w:rFonts w:ascii="仿宋_GB2312" w:eastAsia="仿宋_GB2312" w:cs="仿宋_GB2312"/>
          <w:color w:val="000000"/>
          <w:sz w:val="32"/>
          <w:szCs w:val="32"/>
        </w:rPr>
        <w:t>%。</w:t>
      </w:r>
    </w:p>
    <w:p w14:paraId="34746255">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三、支出决算情况说明</w:t>
      </w:r>
    </w:p>
    <w:p w14:paraId="52056DA9">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年度支出合计</w:t>
      </w:r>
      <w:r>
        <w:rPr>
          <w:rFonts w:hint="eastAsia" w:ascii="仿宋_GB2312" w:eastAsia="仿宋_GB2312" w:cs="仿宋_GB2312"/>
          <w:color w:val="000000"/>
          <w:sz w:val="32"/>
          <w:szCs w:val="32"/>
          <w:lang w:val="en-US" w:eastAsia="zh-CN"/>
        </w:rPr>
        <w:t>181.59</w:t>
      </w:r>
      <w:r>
        <w:rPr>
          <w:rFonts w:ascii="仿宋_GB2312" w:eastAsia="仿宋_GB2312" w:cs="仿宋_GB2312"/>
          <w:color w:val="000000"/>
          <w:sz w:val="32"/>
          <w:szCs w:val="32"/>
        </w:rPr>
        <w:t>万元，其中：基本支出</w:t>
      </w:r>
      <w:r>
        <w:rPr>
          <w:rFonts w:hint="eastAsia" w:ascii="仿宋_GB2312" w:eastAsia="仿宋_GB2312" w:cs="仿宋_GB2312"/>
          <w:color w:val="000000"/>
          <w:sz w:val="32"/>
          <w:szCs w:val="32"/>
          <w:lang w:val="en-US" w:eastAsia="zh-CN"/>
        </w:rPr>
        <w:t>83.48</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46</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98.11</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54</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596A1586">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四、财政拨款收入支出决算总体情况说明</w:t>
      </w:r>
    </w:p>
    <w:p w14:paraId="00B71A8D">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年度财政拨款收入总计</w:t>
      </w:r>
      <w:r>
        <w:rPr>
          <w:rFonts w:hint="eastAsia" w:ascii="仿宋_GB2312" w:eastAsia="仿宋_GB2312" w:cs="仿宋_GB2312"/>
          <w:color w:val="000000"/>
          <w:sz w:val="32"/>
          <w:szCs w:val="32"/>
          <w:lang w:val="en-US" w:eastAsia="zh-CN"/>
        </w:rPr>
        <w:t>183.16</w:t>
      </w:r>
      <w:r>
        <w:rPr>
          <w:rFonts w:ascii="仿宋_GB2312" w:eastAsia="仿宋_GB2312" w:cs="仿宋_GB2312"/>
          <w:color w:val="000000"/>
          <w:sz w:val="32"/>
          <w:szCs w:val="32"/>
        </w:rPr>
        <w:t>万元（含年初财政拨款结转结余），支出总计</w:t>
      </w:r>
      <w:r>
        <w:rPr>
          <w:rFonts w:hint="eastAsia" w:ascii="仿宋_GB2312" w:eastAsia="仿宋_GB2312" w:cs="仿宋_GB2312"/>
          <w:color w:val="000000"/>
          <w:sz w:val="32"/>
          <w:szCs w:val="32"/>
          <w:lang w:val="en-US" w:eastAsia="zh-CN"/>
        </w:rPr>
        <w:t>183.16</w:t>
      </w:r>
      <w:r>
        <w:rPr>
          <w:rFonts w:ascii="仿宋_GB2312" w:eastAsia="仿宋_GB2312" w:cs="仿宋_GB2312"/>
          <w:color w:val="000000"/>
          <w:sz w:val="32"/>
          <w:szCs w:val="32"/>
        </w:rPr>
        <w:t>万元（含年末财政拨款结转和结余）。与20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年相比，收、支总计各</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减少</w:t>
      </w:r>
      <w:r>
        <w:rPr>
          <w:rFonts w:hint="eastAsia" w:ascii="仿宋_GB2312" w:eastAsia="仿宋_GB2312" w:cs="仿宋_GB2312"/>
          <w:color w:val="000000"/>
          <w:sz w:val="32"/>
          <w:szCs w:val="32"/>
          <w:lang w:val="en-US" w:eastAsia="zh-CN"/>
        </w:rPr>
        <w:t>173.73</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下降</w:t>
      </w:r>
      <w:r>
        <w:rPr>
          <w:rFonts w:hint="eastAsia" w:ascii="仿宋_GB2312" w:eastAsia="仿宋_GB2312" w:cs="仿宋_GB2312"/>
          <w:color w:val="000000"/>
          <w:sz w:val="32"/>
          <w:szCs w:val="32"/>
          <w:lang w:val="en-US" w:eastAsia="zh-CN"/>
        </w:rPr>
        <w:t>49</w:t>
      </w:r>
      <w:r>
        <w:rPr>
          <w:rFonts w:ascii="仿宋_GB2312" w:eastAsia="仿宋_GB2312" w:cs="仿宋_GB2312"/>
          <w:color w:val="000000"/>
          <w:sz w:val="32"/>
          <w:szCs w:val="32"/>
        </w:rPr>
        <w:t>%，主要原因：一是</w:t>
      </w:r>
      <w:r>
        <w:rPr>
          <w:rFonts w:hint="eastAsia" w:ascii="仿宋" w:hAnsi="仿宋" w:eastAsia="仿宋" w:cs="仿宋"/>
          <w:color w:val="000000"/>
          <w:sz w:val="32"/>
          <w:szCs w:val="32"/>
          <w:lang w:eastAsia="zh-CN"/>
        </w:rPr>
        <w:t>文旅活动减少</w:t>
      </w:r>
      <w:r>
        <w:rPr>
          <w:rFonts w:ascii="仿宋_GB2312" w:eastAsia="仿宋_GB2312" w:cs="仿宋_GB2312"/>
          <w:color w:val="000000"/>
          <w:sz w:val="32"/>
          <w:szCs w:val="32"/>
        </w:rPr>
        <w:t>；二是</w:t>
      </w:r>
      <w:r>
        <w:rPr>
          <w:rFonts w:hint="eastAsia" w:ascii="仿宋" w:hAnsi="仿宋" w:eastAsia="仿宋" w:cs="仿宋"/>
          <w:color w:val="000000"/>
          <w:sz w:val="32"/>
          <w:szCs w:val="32"/>
          <w:lang w:eastAsia="zh-CN"/>
        </w:rPr>
        <w:t>人员减少</w:t>
      </w:r>
      <w:r>
        <w:rPr>
          <w:rFonts w:ascii="仿宋_GB2312" w:eastAsia="仿宋_GB2312" w:cs="仿宋_GB2312"/>
          <w:color w:val="000000"/>
          <w:sz w:val="32"/>
          <w:szCs w:val="32"/>
        </w:rPr>
        <w:t>。</w:t>
      </w:r>
    </w:p>
    <w:p w14:paraId="7EA05B22">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五、一般公共预算财政拨款支出决算情况说明</w:t>
      </w:r>
    </w:p>
    <w:p w14:paraId="631E91EF">
      <w:pPr>
        <w:pStyle w:val="7"/>
        <w:widowControl/>
        <w:ind w:firstLine="640"/>
        <w:rPr>
          <w:rFonts w:ascii="楷体_GB2312" w:eastAsia="楷体_GB2312" w:cs="楷体_GB2312"/>
          <w:color w:val="000000"/>
          <w:sz w:val="32"/>
          <w:szCs w:val="32"/>
        </w:rPr>
      </w:pPr>
      <w:r>
        <w:rPr>
          <w:rFonts w:ascii="楷体_GB2312" w:eastAsia="楷体_GB2312" w:cs="楷体_GB2312"/>
          <w:color w:val="000000"/>
          <w:sz w:val="32"/>
          <w:szCs w:val="32"/>
        </w:rPr>
        <w:t>（一）一般公共预算财政拨款支出决算总体情况。</w:t>
      </w:r>
    </w:p>
    <w:p w14:paraId="6EF0633A">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173.04</w:t>
      </w:r>
      <w:r>
        <w:rPr>
          <w:rFonts w:ascii="仿宋_GB2312" w:eastAsia="仿宋_GB2312" w:cs="仿宋_GB2312"/>
          <w:color w:val="000000"/>
          <w:sz w:val="32"/>
          <w:szCs w:val="32"/>
        </w:rPr>
        <w:t>万元，占本年支出的</w:t>
      </w:r>
      <w:r>
        <w:rPr>
          <w:rFonts w:hint="eastAsia" w:ascii="仿宋_GB2312" w:eastAsia="仿宋_GB2312" w:cs="仿宋_GB2312"/>
          <w:color w:val="000000"/>
          <w:sz w:val="32"/>
          <w:szCs w:val="32"/>
          <w:lang w:val="en-US" w:eastAsia="zh-CN"/>
        </w:rPr>
        <w:t>94</w:t>
      </w:r>
      <w:r>
        <w:rPr>
          <w:rFonts w:ascii="仿宋_GB2312" w:eastAsia="仿宋_GB2312" w:cs="仿宋_GB2312"/>
          <w:color w:val="000000"/>
          <w:sz w:val="32"/>
          <w:szCs w:val="32"/>
        </w:rPr>
        <w:t>%。与20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年相比，一般公共预算财政拨款支出</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减少</w:t>
      </w:r>
      <w:r>
        <w:rPr>
          <w:rFonts w:hint="eastAsia" w:ascii="仿宋_GB2312" w:eastAsia="仿宋_GB2312" w:cs="仿宋_GB2312"/>
          <w:color w:val="000000"/>
          <w:sz w:val="32"/>
          <w:szCs w:val="32"/>
          <w:lang w:val="en-US" w:eastAsia="zh-CN"/>
        </w:rPr>
        <w:t>34.83</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下降</w:t>
      </w:r>
      <w:r>
        <w:rPr>
          <w:rFonts w:hint="eastAsia" w:ascii="仿宋_GB2312" w:eastAsia="仿宋_GB2312" w:cs="仿宋_GB2312"/>
          <w:color w:val="000000"/>
          <w:sz w:val="32"/>
          <w:szCs w:val="32"/>
          <w:lang w:val="en-US" w:eastAsia="zh-CN"/>
        </w:rPr>
        <w:t>17</w:t>
      </w:r>
      <w:r>
        <w:rPr>
          <w:rFonts w:ascii="仿宋_GB2312" w:eastAsia="仿宋_GB2312" w:cs="仿宋_GB2312"/>
          <w:color w:val="000000"/>
          <w:sz w:val="32"/>
          <w:szCs w:val="32"/>
        </w:rPr>
        <w:t>%。一是</w:t>
      </w:r>
      <w:r>
        <w:rPr>
          <w:rFonts w:hint="eastAsia" w:ascii="仿宋" w:hAnsi="仿宋" w:eastAsia="仿宋" w:cs="仿宋"/>
          <w:color w:val="000000"/>
          <w:sz w:val="32"/>
          <w:szCs w:val="32"/>
          <w:lang w:eastAsia="zh-CN"/>
        </w:rPr>
        <w:t>文旅活动减少</w:t>
      </w:r>
      <w:r>
        <w:rPr>
          <w:rFonts w:ascii="仿宋_GB2312" w:eastAsia="仿宋_GB2312" w:cs="仿宋_GB2312"/>
          <w:color w:val="000000"/>
          <w:sz w:val="32"/>
          <w:szCs w:val="32"/>
        </w:rPr>
        <w:t>；二是</w:t>
      </w:r>
      <w:r>
        <w:rPr>
          <w:rFonts w:hint="eastAsia" w:ascii="仿宋" w:hAnsi="仿宋" w:eastAsia="仿宋" w:cs="仿宋"/>
          <w:color w:val="000000"/>
          <w:sz w:val="32"/>
          <w:szCs w:val="32"/>
          <w:lang w:eastAsia="zh-CN"/>
        </w:rPr>
        <w:t>人员减少</w:t>
      </w:r>
      <w:r>
        <w:rPr>
          <w:rFonts w:ascii="仿宋_GB2312" w:eastAsia="仿宋_GB2312" w:cs="仿宋_GB2312"/>
          <w:color w:val="000000"/>
          <w:sz w:val="32"/>
          <w:szCs w:val="32"/>
        </w:rPr>
        <w:t>。</w:t>
      </w:r>
    </w:p>
    <w:p w14:paraId="3DEF9727">
      <w:pPr>
        <w:pStyle w:val="7"/>
        <w:widowControl/>
        <w:ind w:firstLine="640"/>
        <w:rPr>
          <w:rFonts w:ascii="楷体_GB2312" w:eastAsia="楷体_GB2312" w:cs="楷体_GB2312"/>
          <w:color w:val="000000"/>
          <w:sz w:val="32"/>
          <w:szCs w:val="32"/>
        </w:rPr>
      </w:pPr>
      <w:r>
        <w:rPr>
          <w:rFonts w:ascii="楷体_GB2312" w:eastAsia="楷体_GB2312" w:cs="楷体_GB2312"/>
          <w:color w:val="000000"/>
          <w:sz w:val="32"/>
          <w:szCs w:val="32"/>
        </w:rPr>
        <w:t>（二）一般公共预算财政拨款支出决算结构情况。</w:t>
      </w:r>
    </w:p>
    <w:p w14:paraId="5BEB9D1F">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173.04</w:t>
      </w:r>
      <w:r>
        <w:rPr>
          <w:rFonts w:ascii="仿宋_GB2312" w:eastAsia="仿宋_GB2312" w:cs="仿宋_GB2312"/>
          <w:color w:val="000000"/>
          <w:sz w:val="32"/>
          <w:szCs w:val="32"/>
        </w:rPr>
        <w:t>万元，主要用于以下方面：</w:t>
      </w:r>
      <w:r>
        <w:rPr>
          <w:rFonts w:hint="eastAsia" w:ascii="仿宋_GB2312" w:eastAsia="仿宋_GB2312" w:cs="仿宋_GB2312"/>
          <w:b/>
          <w:color w:val="000000"/>
          <w:sz w:val="32"/>
          <w:szCs w:val="32"/>
          <w:lang w:val="en-US" w:eastAsia="zh-CN"/>
        </w:rPr>
        <w:t xml:space="preserve"> </w:t>
      </w:r>
      <w:r>
        <w:rPr>
          <w:rFonts w:ascii="仿宋_GB2312" w:eastAsia="仿宋_GB2312" w:cs="仿宋_GB2312"/>
          <w:b/>
          <w:color w:val="000000"/>
          <w:sz w:val="32"/>
          <w:szCs w:val="32"/>
        </w:rPr>
        <w:t>文化体育与传媒（类）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142.25</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82</w:t>
      </w:r>
      <w:r>
        <w:rPr>
          <w:rFonts w:ascii="仿宋_GB2312" w:eastAsia="仿宋_GB2312" w:cs="仿宋_GB2312"/>
          <w:color w:val="000000"/>
          <w:sz w:val="32"/>
          <w:szCs w:val="32"/>
        </w:rPr>
        <w:t>%；</w:t>
      </w:r>
      <w:r>
        <w:rPr>
          <w:rFonts w:ascii="仿宋_GB2312" w:eastAsia="仿宋_GB2312" w:cs="仿宋_GB2312"/>
          <w:b/>
          <w:color w:val="000000"/>
          <w:sz w:val="32"/>
          <w:szCs w:val="32"/>
        </w:rPr>
        <w:t>社会保障和就业（类）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22.74</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13</w:t>
      </w:r>
      <w:r>
        <w:rPr>
          <w:rFonts w:ascii="仿宋_GB2312" w:eastAsia="仿宋_GB2312" w:cs="仿宋_GB2312"/>
          <w:color w:val="000000"/>
          <w:sz w:val="32"/>
          <w:szCs w:val="32"/>
        </w:rPr>
        <w:t>%；</w:t>
      </w:r>
      <w:r>
        <w:rPr>
          <w:rFonts w:hint="eastAsia" w:ascii="仿宋_GB2312" w:eastAsia="仿宋_GB2312" w:cs="仿宋_GB2312"/>
          <w:b/>
          <w:color w:val="000000"/>
          <w:sz w:val="32"/>
          <w:szCs w:val="32"/>
          <w:lang w:val="en-US" w:eastAsia="zh-CN"/>
        </w:rPr>
        <w:t xml:space="preserve"> </w:t>
      </w:r>
      <w:r>
        <w:rPr>
          <w:rFonts w:ascii="仿宋_GB2312" w:eastAsia="仿宋_GB2312" w:cs="仿宋_GB2312"/>
          <w:b/>
          <w:color w:val="000000"/>
          <w:sz w:val="32"/>
          <w:szCs w:val="32"/>
        </w:rPr>
        <w:t>住房保障（类）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8.05</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5</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11A704B1">
      <w:pPr>
        <w:pStyle w:val="7"/>
        <w:widowControl/>
        <w:ind w:firstLine="640"/>
        <w:rPr>
          <w:rFonts w:ascii="楷体_GB2312" w:eastAsia="楷体_GB2312" w:cs="楷体_GB2312"/>
          <w:color w:val="000000"/>
          <w:sz w:val="32"/>
          <w:szCs w:val="32"/>
        </w:rPr>
      </w:pPr>
      <w:r>
        <w:rPr>
          <w:rFonts w:hint="eastAsia" w:ascii="楷体_GB2312" w:eastAsia="楷体_GB2312" w:cs="楷体_GB2312"/>
          <w:color w:val="000000"/>
          <w:sz w:val="32"/>
          <w:szCs w:val="32"/>
          <w:lang w:val="en-US" w:eastAsia="zh-CN"/>
        </w:rPr>
        <w:t xml:space="preserve"> </w:t>
      </w:r>
      <w:r>
        <w:rPr>
          <w:rFonts w:ascii="楷体_GB2312" w:eastAsia="楷体_GB2312" w:cs="楷体_GB2312"/>
          <w:color w:val="000000"/>
          <w:sz w:val="32"/>
          <w:szCs w:val="32"/>
        </w:rPr>
        <w:t>（三）一般公共预算财政拨款支出决算具体情况。</w:t>
      </w:r>
    </w:p>
    <w:p w14:paraId="7CCF4B5B">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年度一般公共预算财政拨款支出年初预算为</w:t>
      </w:r>
      <w:r>
        <w:rPr>
          <w:rFonts w:hint="eastAsia" w:ascii="仿宋_GB2312" w:eastAsia="仿宋_GB2312" w:cs="仿宋_GB2312"/>
          <w:color w:val="000000"/>
          <w:sz w:val="32"/>
          <w:szCs w:val="32"/>
          <w:lang w:val="en-US" w:eastAsia="zh-CN"/>
        </w:rPr>
        <w:t>173.04</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173.04</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其中:基本支出</w:t>
      </w:r>
      <w:r>
        <w:rPr>
          <w:rFonts w:hint="eastAsia" w:ascii="仿宋_GB2312" w:eastAsia="仿宋_GB2312" w:cs="仿宋_GB2312"/>
          <w:color w:val="000000"/>
          <w:sz w:val="32"/>
          <w:szCs w:val="32"/>
          <w:lang w:val="en-US" w:eastAsia="zh-CN"/>
        </w:rPr>
        <w:t>83.48</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48</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89.56</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52</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具体情况如下：</w:t>
      </w:r>
    </w:p>
    <w:p w14:paraId="46F7EBE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文化</w:t>
      </w:r>
      <w:r>
        <w:rPr>
          <w:rFonts w:hint="eastAsia" w:ascii="仿宋_GB2312" w:hAnsi="仿宋_GB2312" w:eastAsia="仿宋_GB2312" w:cs="仿宋_GB2312"/>
          <w:b/>
          <w:sz w:val="32"/>
          <w:szCs w:val="32"/>
          <w:lang w:eastAsia="zh-CN"/>
        </w:rPr>
        <w:t>旅游</w:t>
      </w:r>
      <w:r>
        <w:rPr>
          <w:rFonts w:hint="eastAsia" w:ascii="仿宋_GB2312" w:hAnsi="仿宋_GB2312" w:eastAsia="仿宋_GB2312" w:cs="仿宋_GB2312"/>
          <w:b/>
          <w:sz w:val="32"/>
          <w:szCs w:val="32"/>
        </w:rPr>
        <w:t>体育与传媒（类）文化</w:t>
      </w:r>
      <w:r>
        <w:rPr>
          <w:rFonts w:hint="eastAsia" w:ascii="仿宋_GB2312" w:hAnsi="仿宋_GB2312" w:eastAsia="仿宋_GB2312" w:cs="仿宋_GB2312"/>
          <w:b/>
          <w:sz w:val="32"/>
          <w:szCs w:val="32"/>
          <w:lang w:eastAsia="zh-CN"/>
        </w:rPr>
        <w:t>和旅游</w:t>
      </w:r>
      <w:r>
        <w:rPr>
          <w:rFonts w:hint="eastAsia" w:ascii="仿宋_GB2312" w:hAnsi="仿宋_GB2312" w:eastAsia="仿宋_GB2312" w:cs="仿宋_GB2312"/>
          <w:b/>
          <w:sz w:val="32"/>
          <w:szCs w:val="32"/>
        </w:rPr>
        <w:t>（款）文化创作与保护（项）</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7C8E1F6F">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文化</w:t>
      </w:r>
      <w:r>
        <w:rPr>
          <w:rFonts w:hint="eastAsia" w:ascii="仿宋_GB2312" w:hAnsi="仿宋_GB2312" w:eastAsia="仿宋_GB2312" w:cs="仿宋_GB2312"/>
          <w:b/>
          <w:sz w:val="32"/>
          <w:szCs w:val="32"/>
          <w:lang w:eastAsia="zh-CN"/>
        </w:rPr>
        <w:t>旅游</w:t>
      </w:r>
      <w:r>
        <w:rPr>
          <w:rFonts w:hint="eastAsia" w:ascii="仿宋_GB2312" w:hAnsi="仿宋_GB2312" w:eastAsia="仿宋_GB2312" w:cs="仿宋_GB2312"/>
          <w:b/>
          <w:sz w:val="32"/>
          <w:szCs w:val="32"/>
        </w:rPr>
        <w:t>体育与传媒（类）文化</w:t>
      </w:r>
      <w:r>
        <w:rPr>
          <w:rFonts w:hint="eastAsia" w:ascii="仿宋_GB2312" w:hAnsi="仿宋_GB2312" w:eastAsia="仿宋_GB2312" w:cs="仿宋_GB2312"/>
          <w:b/>
          <w:sz w:val="32"/>
          <w:szCs w:val="32"/>
          <w:lang w:eastAsia="zh-CN"/>
        </w:rPr>
        <w:t>和旅游</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val="en-US" w:eastAsia="zh-CN"/>
        </w:rPr>
        <w:t>行政运行</w:t>
      </w:r>
      <w:r>
        <w:rPr>
          <w:rFonts w:hint="eastAsia" w:ascii="仿宋_GB2312" w:hAnsi="仿宋_GB2312" w:eastAsia="仿宋_GB2312" w:cs="仿宋_GB2312"/>
          <w:b/>
          <w:sz w:val="32"/>
          <w:szCs w:val="32"/>
        </w:rPr>
        <w:t>（项）</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58.19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58.19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C7C58F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文化</w:t>
      </w:r>
      <w:r>
        <w:rPr>
          <w:rFonts w:hint="eastAsia" w:ascii="仿宋_GB2312" w:hAnsi="仿宋_GB2312" w:eastAsia="仿宋_GB2312" w:cs="仿宋_GB2312"/>
          <w:b/>
          <w:sz w:val="32"/>
          <w:szCs w:val="32"/>
          <w:lang w:eastAsia="zh-CN"/>
        </w:rPr>
        <w:t>旅游</w:t>
      </w:r>
      <w:r>
        <w:rPr>
          <w:rFonts w:hint="eastAsia" w:ascii="仿宋_GB2312" w:hAnsi="仿宋_GB2312" w:eastAsia="仿宋_GB2312" w:cs="仿宋_GB2312"/>
          <w:b/>
          <w:sz w:val="32"/>
          <w:szCs w:val="32"/>
        </w:rPr>
        <w:t>体育与传媒（类）文化</w:t>
      </w:r>
      <w:r>
        <w:rPr>
          <w:rFonts w:hint="eastAsia" w:ascii="仿宋_GB2312" w:hAnsi="仿宋_GB2312" w:eastAsia="仿宋_GB2312" w:cs="仿宋_GB2312"/>
          <w:b/>
          <w:sz w:val="32"/>
          <w:szCs w:val="32"/>
          <w:lang w:eastAsia="zh-CN"/>
        </w:rPr>
        <w:t>和旅游</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val="en-US" w:eastAsia="zh-CN"/>
        </w:rPr>
        <w:t>群众文化</w:t>
      </w:r>
      <w:r>
        <w:rPr>
          <w:rFonts w:hint="eastAsia" w:ascii="仿宋_GB2312" w:hAnsi="仿宋_GB2312" w:eastAsia="仿宋_GB2312" w:cs="仿宋_GB2312"/>
          <w:b/>
          <w:sz w:val="32"/>
          <w:szCs w:val="32"/>
        </w:rPr>
        <w:t>（项）</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32.66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32.66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0024AF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文化</w:t>
      </w:r>
      <w:r>
        <w:rPr>
          <w:rFonts w:hint="eastAsia" w:ascii="仿宋_GB2312" w:hAnsi="仿宋_GB2312" w:eastAsia="仿宋_GB2312" w:cs="仿宋_GB2312"/>
          <w:b/>
          <w:sz w:val="32"/>
          <w:szCs w:val="32"/>
          <w:lang w:eastAsia="zh-CN"/>
        </w:rPr>
        <w:t>旅游</w:t>
      </w:r>
      <w:r>
        <w:rPr>
          <w:rFonts w:hint="eastAsia" w:ascii="仿宋_GB2312" w:hAnsi="仿宋_GB2312" w:eastAsia="仿宋_GB2312" w:cs="仿宋_GB2312"/>
          <w:b/>
          <w:sz w:val="32"/>
          <w:szCs w:val="32"/>
        </w:rPr>
        <w:t>体育与传媒（类）文化</w:t>
      </w:r>
      <w:r>
        <w:rPr>
          <w:rFonts w:hint="eastAsia" w:ascii="仿宋_GB2312" w:hAnsi="仿宋_GB2312" w:eastAsia="仿宋_GB2312" w:cs="仿宋_GB2312"/>
          <w:b/>
          <w:sz w:val="32"/>
          <w:szCs w:val="32"/>
          <w:lang w:eastAsia="zh-CN"/>
        </w:rPr>
        <w:t>和旅游</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val="en-US" w:eastAsia="zh-CN"/>
        </w:rPr>
        <w:t>其它文化与传媒类支出</w:t>
      </w:r>
      <w:r>
        <w:rPr>
          <w:rFonts w:hint="eastAsia" w:ascii="仿宋_GB2312" w:hAnsi="仿宋_GB2312" w:eastAsia="仿宋_GB2312" w:cs="仿宋_GB2312"/>
          <w:b/>
          <w:sz w:val="32"/>
          <w:szCs w:val="32"/>
        </w:rPr>
        <w:t>（项）</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22.07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22.07</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5C770D43">
      <w:pPr>
        <w:pStyle w:val="7"/>
        <w:widowControl/>
        <w:spacing w:line="560" w:lineRule="exact"/>
        <w:ind w:firstLine="640"/>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黑体" w:hAnsi="宋体" w:eastAsia="黑体" w:cs="黑体"/>
          <w:color w:val="000000"/>
          <w:sz w:val="32"/>
          <w:szCs w:val="32"/>
        </w:rPr>
        <w:t>六、一般公共预算财政拨款基本支出决算情况说明</w:t>
      </w:r>
    </w:p>
    <w:p w14:paraId="72348802">
      <w:pPr>
        <w:pStyle w:val="7"/>
        <w:adjustRightInd w:val="0"/>
        <w:snapToGrid w:val="0"/>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年度财政拨款基本支出</w:t>
      </w:r>
      <w:r>
        <w:rPr>
          <w:rFonts w:hint="eastAsia" w:ascii="仿宋_GB2312" w:eastAsia="仿宋_GB2312" w:cs="仿宋_GB2312"/>
          <w:color w:val="000000"/>
          <w:sz w:val="32"/>
          <w:szCs w:val="32"/>
          <w:lang w:val="en-US" w:eastAsia="zh-CN"/>
        </w:rPr>
        <w:t>83.47</w:t>
      </w:r>
      <w:r>
        <w:rPr>
          <w:rFonts w:ascii="仿宋_GB2312" w:eastAsia="仿宋_GB2312" w:cs="仿宋_GB2312"/>
          <w:color w:val="000000"/>
          <w:sz w:val="32"/>
          <w:szCs w:val="32"/>
        </w:rPr>
        <w:t>万元，其中：人员经费</w:t>
      </w:r>
      <w:r>
        <w:rPr>
          <w:rFonts w:hint="eastAsia" w:ascii="仿宋_GB2312" w:eastAsia="仿宋_GB2312" w:cs="仿宋_GB2312"/>
          <w:color w:val="000000"/>
          <w:sz w:val="32"/>
          <w:szCs w:val="32"/>
          <w:lang w:val="en-US" w:eastAsia="zh-CN"/>
        </w:rPr>
        <w:t>82.47</w:t>
      </w:r>
      <w:r>
        <w:rPr>
          <w:rFonts w:ascii="仿宋_GB2312" w:eastAsia="仿宋_GB2312" w:cs="仿宋_GB2312"/>
          <w:color w:val="000000"/>
          <w:sz w:val="32"/>
          <w:szCs w:val="32"/>
        </w:rPr>
        <w:t>万元，主要包括:基本工资</w:t>
      </w:r>
      <w:r>
        <w:rPr>
          <w:rFonts w:hint="eastAsia" w:ascii="仿宋_GB2312" w:eastAsia="仿宋_GB2312" w:cs="仿宋_GB2312"/>
          <w:color w:val="000000"/>
          <w:sz w:val="32"/>
          <w:szCs w:val="32"/>
          <w:lang w:val="en-US" w:eastAsia="zh-CN"/>
        </w:rPr>
        <w:t>16.04万元</w:t>
      </w:r>
      <w:r>
        <w:rPr>
          <w:rFonts w:ascii="仿宋_GB2312" w:eastAsia="仿宋_GB2312" w:cs="仿宋_GB2312"/>
          <w:color w:val="000000"/>
          <w:sz w:val="32"/>
          <w:szCs w:val="32"/>
        </w:rPr>
        <w:t>、津贴补贴</w:t>
      </w:r>
      <w:r>
        <w:rPr>
          <w:rFonts w:hint="eastAsia" w:ascii="仿宋_GB2312" w:eastAsia="仿宋_GB2312" w:cs="仿宋_GB2312"/>
          <w:color w:val="000000"/>
          <w:sz w:val="32"/>
          <w:szCs w:val="32"/>
          <w:lang w:val="en-US" w:eastAsia="zh-CN"/>
        </w:rPr>
        <w:t>14.53万元</w:t>
      </w:r>
      <w:r>
        <w:rPr>
          <w:rFonts w:ascii="仿宋_GB2312" w:eastAsia="仿宋_GB2312" w:cs="仿宋_GB2312"/>
          <w:color w:val="000000"/>
          <w:sz w:val="32"/>
          <w:szCs w:val="32"/>
        </w:rPr>
        <w:t>、奖金</w:t>
      </w:r>
      <w:r>
        <w:rPr>
          <w:rFonts w:hint="eastAsia" w:ascii="仿宋_GB2312" w:eastAsia="仿宋_GB2312" w:cs="仿宋_GB2312"/>
          <w:color w:val="000000"/>
          <w:sz w:val="32"/>
          <w:szCs w:val="32"/>
          <w:lang w:val="en-US" w:eastAsia="zh-CN"/>
        </w:rPr>
        <w:t>16.29万元</w:t>
      </w:r>
      <w:r>
        <w:rPr>
          <w:rFonts w:ascii="仿宋_GB2312" w:eastAsia="仿宋_GB2312" w:cs="仿宋_GB2312"/>
          <w:color w:val="000000"/>
          <w:sz w:val="32"/>
          <w:szCs w:val="32"/>
        </w:rPr>
        <w:t>、机关事业单位基本养老保险费</w:t>
      </w:r>
      <w:r>
        <w:rPr>
          <w:rFonts w:hint="eastAsia" w:ascii="仿宋_GB2312" w:eastAsia="仿宋_GB2312" w:cs="仿宋_GB2312"/>
          <w:color w:val="000000"/>
          <w:sz w:val="32"/>
          <w:szCs w:val="32"/>
          <w:lang w:val="en-US" w:eastAsia="zh-CN"/>
        </w:rPr>
        <w:t>9.4万元</w:t>
      </w:r>
      <w:r>
        <w:rPr>
          <w:rFonts w:ascii="仿宋_GB2312" w:eastAsia="仿宋_GB2312" w:cs="仿宋_GB2312"/>
          <w:color w:val="000000"/>
          <w:sz w:val="32"/>
          <w:szCs w:val="32"/>
        </w:rPr>
        <w:t>、职业年金缴费</w:t>
      </w:r>
      <w:r>
        <w:rPr>
          <w:rFonts w:hint="eastAsia" w:ascii="仿宋_GB2312" w:eastAsia="仿宋_GB2312" w:cs="仿宋_GB2312"/>
          <w:color w:val="000000"/>
          <w:sz w:val="32"/>
          <w:szCs w:val="32"/>
          <w:lang w:val="en-US" w:eastAsia="zh-CN"/>
        </w:rPr>
        <w:t>8.92万元</w:t>
      </w:r>
      <w:r>
        <w:rPr>
          <w:rFonts w:ascii="仿宋_GB2312" w:eastAsia="仿宋_GB2312" w:cs="仿宋_GB2312"/>
          <w:color w:val="000000"/>
          <w:sz w:val="32"/>
          <w:szCs w:val="32"/>
        </w:rPr>
        <w:t>、职工基本医疗保险缴费</w:t>
      </w:r>
      <w:r>
        <w:rPr>
          <w:rFonts w:hint="eastAsia" w:ascii="仿宋_GB2312" w:eastAsia="仿宋_GB2312" w:cs="仿宋_GB2312"/>
          <w:color w:val="000000"/>
          <w:sz w:val="32"/>
          <w:szCs w:val="32"/>
          <w:lang w:val="en-US" w:eastAsia="zh-CN"/>
        </w:rPr>
        <w:t>3.2万元</w:t>
      </w:r>
      <w:r>
        <w:rPr>
          <w:rFonts w:ascii="仿宋_GB2312" w:eastAsia="仿宋_GB2312" w:cs="仿宋_GB2312"/>
          <w:color w:val="000000"/>
          <w:sz w:val="32"/>
          <w:szCs w:val="32"/>
        </w:rPr>
        <w:t>、公务员医疗补助缴费</w:t>
      </w:r>
      <w:r>
        <w:rPr>
          <w:rFonts w:hint="eastAsia" w:ascii="仿宋_GB2312" w:eastAsia="仿宋_GB2312" w:cs="仿宋_GB2312"/>
          <w:color w:val="000000"/>
          <w:sz w:val="32"/>
          <w:szCs w:val="32"/>
          <w:lang w:val="en-US" w:eastAsia="zh-CN"/>
        </w:rPr>
        <w:t>1.09万元</w:t>
      </w:r>
      <w:r>
        <w:rPr>
          <w:rFonts w:ascii="仿宋_GB2312" w:eastAsia="仿宋_GB2312" w:cs="仿宋_GB2312"/>
          <w:color w:val="000000"/>
          <w:sz w:val="32"/>
          <w:szCs w:val="32"/>
        </w:rPr>
        <w:t>、住房公积金</w:t>
      </w:r>
      <w:r>
        <w:rPr>
          <w:rFonts w:hint="eastAsia" w:ascii="仿宋_GB2312" w:eastAsia="仿宋_GB2312" w:cs="仿宋_GB2312"/>
          <w:color w:val="000000"/>
          <w:sz w:val="32"/>
          <w:szCs w:val="32"/>
          <w:lang w:val="en-US" w:eastAsia="zh-CN"/>
        </w:rPr>
        <w:t>4.85万元</w:t>
      </w:r>
      <w:r>
        <w:rPr>
          <w:rFonts w:ascii="仿宋_GB2312" w:eastAsia="仿宋_GB2312" w:cs="仿宋_GB2312"/>
          <w:color w:val="000000"/>
          <w:sz w:val="32"/>
          <w:szCs w:val="32"/>
        </w:rPr>
        <w:t>、其他工资福利支出</w:t>
      </w:r>
      <w:r>
        <w:rPr>
          <w:rFonts w:hint="eastAsia" w:ascii="仿宋_GB2312" w:eastAsia="仿宋_GB2312" w:cs="仿宋_GB2312"/>
          <w:color w:val="000000"/>
          <w:sz w:val="32"/>
          <w:szCs w:val="32"/>
          <w:lang w:val="en-US" w:eastAsia="zh-CN"/>
        </w:rPr>
        <w:t>0万元</w:t>
      </w:r>
      <w:r>
        <w:rPr>
          <w:rFonts w:ascii="仿宋_GB2312" w:eastAsia="仿宋_GB2312" w:cs="仿宋_GB2312"/>
          <w:color w:val="000000"/>
          <w:sz w:val="32"/>
          <w:szCs w:val="32"/>
        </w:rPr>
        <w:t>、退休费</w:t>
      </w:r>
      <w:r>
        <w:rPr>
          <w:rFonts w:hint="eastAsia" w:ascii="仿宋_GB2312" w:eastAsia="仿宋_GB2312" w:cs="仿宋_GB2312"/>
          <w:color w:val="000000"/>
          <w:sz w:val="32"/>
          <w:szCs w:val="32"/>
          <w:lang w:val="en-US" w:eastAsia="zh-CN"/>
        </w:rPr>
        <w:t>8.07万元</w:t>
      </w:r>
      <w:r>
        <w:rPr>
          <w:rFonts w:ascii="仿宋_GB2312" w:eastAsia="仿宋_GB2312" w:cs="仿宋_GB2312"/>
          <w:color w:val="000000"/>
          <w:sz w:val="32"/>
          <w:szCs w:val="32"/>
        </w:rPr>
        <w:t>；公用经费</w:t>
      </w:r>
      <w:r>
        <w:rPr>
          <w:rFonts w:hint="eastAsia" w:ascii="仿宋_GB2312" w:eastAsia="仿宋_GB2312" w:cs="仿宋_GB2312"/>
          <w:color w:val="000000"/>
          <w:sz w:val="32"/>
          <w:szCs w:val="32"/>
          <w:lang w:val="en-US" w:eastAsia="zh-CN"/>
        </w:rPr>
        <w:t>1</w:t>
      </w:r>
      <w:r>
        <w:rPr>
          <w:rFonts w:ascii="仿宋_GB2312" w:eastAsia="仿宋_GB2312" w:cs="仿宋_GB2312"/>
          <w:color w:val="000000"/>
          <w:sz w:val="32"/>
          <w:szCs w:val="32"/>
        </w:rPr>
        <w:t>万元，主要包括：</w:t>
      </w:r>
      <w:r>
        <w:rPr>
          <w:rFonts w:hint="eastAsia" w:ascii="仿宋_GB2312" w:eastAsia="仿宋_GB2312" w:cs="仿宋_GB2312"/>
          <w:color w:val="000000"/>
          <w:sz w:val="32"/>
          <w:szCs w:val="32"/>
          <w:lang w:val="en-US" w:eastAsia="zh-CN"/>
        </w:rPr>
        <w:t>办公</w:t>
      </w:r>
      <w:r>
        <w:rPr>
          <w:rFonts w:ascii="仿宋_GB2312" w:eastAsia="仿宋_GB2312" w:cs="仿宋_GB2312"/>
          <w:color w:val="000000"/>
          <w:sz w:val="32"/>
          <w:szCs w:val="32"/>
        </w:rPr>
        <w:t>费</w:t>
      </w:r>
      <w:r>
        <w:rPr>
          <w:rFonts w:hint="eastAsia" w:ascii="仿宋_GB2312" w:eastAsia="仿宋_GB2312" w:cs="仿宋_GB2312"/>
          <w:color w:val="000000"/>
          <w:sz w:val="32"/>
          <w:szCs w:val="32"/>
          <w:lang w:val="en-US" w:eastAsia="zh-CN"/>
        </w:rPr>
        <w:t>0.49万元</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租凭费0.07万元、培训费0.23万元</w:t>
      </w:r>
      <w:r>
        <w:rPr>
          <w:rFonts w:ascii="仿宋_GB2312" w:eastAsia="仿宋_GB2312" w:cs="仿宋_GB2312"/>
          <w:color w:val="000000"/>
          <w:sz w:val="32"/>
          <w:szCs w:val="32"/>
        </w:rPr>
        <w:t>、其他交通费用</w:t>
      </w:r>
      <w:r>
        <w:rPr>
          <w:rFonts w:hint="eastAsia" w:ascii="仿宋_GB2312" w:eastAsia="仿宋_GB2312" w:cs="仿宋_GB2312"/>
          <w:color w:val="000000"/>
          <w:sz w:val="32"/>
          <w:szCs w:val="32"/>
          <w:lang w:val="en-US" w:eastAsia="zh-CN"/>
        </w:rPr>
        <w:t xml:space="preserve">0.22万元 </w:t>
      </w:r>
      <w:r>
        <w:rPr>
          <w:rFonts w:ascii="仿宋_GB2312" w:eastAsia="仿宋_GB2312" w:cs="仿宋_GB2312"/>
          <w:color w:val="000000"/>
          <w:sz w:val="32"/>
          <w:szCs w:val="32"/>
        </w:rPr>
        <w:t>。</w:t>
      </w:r>
    </w:p>
    <w:p w14:paraId="75A29301">
      <w:pPr>
        <w:pStyle w:val="7"/>
        <w:adjustRightInd w:val="0"/>
        <w:snapToGrid w:val="0"/>
        <w:spacing w:line="560" w:lineRule="exact"/>
        <w:ind w:firstLine="641"/>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黑体" w:hAnsi="宋体" w:eastAsia="黑体" w:cs="黑体"/>
          <w:color w:val="000000"/>
          <w:sz w:val="32"/>
          <w:szCs w:val="32"/>
        </w:rPr>
        <w:t>七、政府性基金财政拨款收入支出决算情况说明</w:t>
      </w:r>
    </w:p>
    <w:p w14:paraId="10DD6CEE">
      <w:pPr>
        <w:pStyle w:val="7"/>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年度政府性基金预算财政拨款年初结转和结余</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万元，本年收入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万元，本年支出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万元，年末结转和结余</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万元。具体情况说明如下：</w:t>
      </w:r>
    </w:p>
    <w:p w14:paraId="6E528A19">
      <w:pPr>
        <w:pStyle w:val="7"/>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1.</w:t>
      </w:r>
      <w:r>
        <w:rPr>
          <w:rFonts w:ascii="仿宋_GB2312" w:eastAsia="仿宋_GB2312" w:cs="仿宋_GB2312"/>
          <w:b/>
          <w:color w:val="000000"/>
          <w:sz w:val="32"/>
          <w:szCs w:val="32"/>
        </w:rPr>
        <w:t>社会保障和就业支出（类）大中型水库移民后期扶持基金支出（款）其他大中型水库移民后期扶持基金支出（项）。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7F304EAC">
      <w:pPr>
        <w:pStyle w:val="7"/>
        <w:adjustRightInd w:val="0"/>
        <w:snapToGrid w:val="0"/>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w:t>
      </w:r>
      <w:r>
        <w:rPr>
          <w:rFonts w:hint="eastAsia" w:ascii="仿宋" w:hAnsi="仿宋" w:eastAsia="仿宋" w:cs="仿宋"/>
          <w:color w:val="000000"/>
          <w:sz w:val="32"/>
          <w:szCs w:val="32"/>
        </w:rPr>
        <w:t>……</w:t>
      </w:r>
      <w:r>
        <w:rPr>
          <w:rFonts w:ascii="仿宋_GB2312" w:eastAsia="仿宋_GB2312" w:cs="仿宋_GB2312"/>
          <w:color w:val="000000"/>
          <w:sz w:val="32"/>
          <w:szCs w:val="32"/>
        </w:rPr>
        <w:t>。</w:t>
      </w:r>
    </w:p>
    <w:p w14:paraId="693CA6DA">
      <w:pPr>
        <w:pStyle w:val="7"/>
        <w:adjustRightInd w:val="0"/>
        <w:snapToGrid w:val="0"/>
        <w:spacing w:line="560" w:lineRule="exact"/>
        <w:ind w:firstLine="640"/>
        <w:rPr>
          <w:rFonts w:ascii="楷体_GB2312" w:eastAsia="楷体_GB2312" w:cs="楷体_GB2312"/>
          <w:color w:val="000000"/>
          <w:sz w:val="32"/>
          <w:szCs w:val="32"/>
        </w:rPr>
      </w:pPr>
      <w:r>
        <w:rPr>
          <w:rFonts w:hint="eastAsia" w:ascii="楷体_GB2312" w:eastAsia="楷体_GB2312" w:cs="楷体_GB2312"/>
          <w:color w:val="000000"/>
          <w:sz w:val="32"/>
          <w:szCs w:val="32"/>
          <w:lang w:eastAsia="zh-CN"/>
        </w:rPr>
        <w:t>谢家集区文化和旅游局</w:t>
      </w:r>
      <w:r>
        <w:rPr>
          <w:rFonts w:ascii="楷体_GB2312" w:eastAsia="楷体_GB2312" w:cs="楷体_GB2312"/>
          <w:color w:val="000000"/>
          <w:sz w:val="32"/>
          <w:szCs w:val="32"/>
        </w:rPr>
        <w:t>没有政府性基金收入，也没有使用政府性基金安排的支出</w:t>
      </w:r>
      <w:r>
        <w:rPr>
          <w:rFonts w:hint="eastAsia" w:ascii="仿宋" w:hAnsi="仿宋" w:eastAsia="仿宋" w:cs="仿宋"/>
          <w:color w:val="000000"/>
          <w:sz w:val="32"/>
          <w:szCs w:val="32"/>
          <w:lang w:val="en-US" w:eastAsia="zh-CN"/>
        </w:rPr>
        <w:t xml:space="preserve"> </w:t>
      </w:r>
      <w:r>
        <w:rPr>
          <w:rFonts w:ascii="楷体_GB2312" w:eastAsia="楷体_GB2312" w:cs="楷体_GB2312"/>
          <w:color w:val="000000"/>
          <w:sz w:val="32"/>
          <w:szCs w:val="32"/>
        </w:rPr>
        <w:t>。</w:t>
      </w:r>
    </w:p>
    <w:p w14:paraId="1B5DA6F4">
      <w:pPr>
        <w:pStyle w:val="7"/>
        <w:adjustRightInd w:val="0"/>
        <w:snapToGrid w:val="0"/>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八、国有资本经营预算财政拨款支出情况说明</w:t>
      </w:r>
    </w:p>
    <w:p w14:paraId="2BA7B4E9">
      <w:pPr>
        <w:pStyle w:val="7"/>
        <w:adjustRightInd w:val="0"/>
        <w:snapToGrid w:val="0"/>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年度国有资本经营预算财政拨款年初结转和结余</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万元，本年收入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万元，本年支出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万元，年末结转和结余</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万元。具体情况说明如下：</w:t>
      </w:r>
    </w:p>
    <w:p w14:paraId="440C0569">
      <w:pPr>
        <w:pStyle w:val="7"/>
        <w:adjustRightInd w:val="0"/>
        <w:snapToGrid w:val="0"/>
        <w:spacing w:line="560" w:lineRule="exact"/>
        <w:ind w:firstLine="640"/>
        <w:rPr>
          <w:rFonts w:ascii="仿宋_GB2312" w:eastAsia="仿宋_GB2312" w:cs="仿宋_GB2312"/>
          <w:color w:val="000000"/>
          <w:sz w:val="32"/>
          <w:szCs w:val="32"/>
        </w:rPr>
      </w:pPr>
      <w:r>
        <w:rPr>
          <w:rFonts w:ascii="仿宋_GB2312" w:eastAsia="仿宋_GB2312" w:cs="仿宋_GB2312"/>
          <w:b/>
          <w:color w:val="000000"/>
          <w:sz w:val="32"/>
          <w:szCs w:val="32"/>
        </w:rPr>
        <w:t>1.国有资本经营预算支出（类）其他国有资本经营预算支出（款）其他国有资本经营预算支出，</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6191CB35">
      <w:pPr>
        <w:pStyle w:val="7"/>
        <w:widowControl/>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w:t>
      </w:r>
      <w:r>
        <w:rPr>
          <w:rFonts w:hint="eastAsia" w:ascii="仿宋" w:hAnsi="仿宋" w:eastAsia="仿宋" w:cs="仿宋"/>
          <w:color w:val="000000"/>
          <w:sz w:val="32"/>
          <w:szCs w:val="32"/>
        </w:rPr>
        <w:t>……</w:t>
      </w:r>
      <w:r>
        <w:rPr>
          <w:rFonts w:ascii="仿宋_GB2312" w:eastAsia="仿宋_GB2312" w:cs="仿宋_GB2312"/>
          <w:color w:val="000000"/>
          <w:sz w:val="32"/>
          <w:szCs w:val="32"/>
        </w:rPr>
        <w:t>。</w:t>
      </w:r>
    </w:p>
    <w:p w14:paraId="0F96AC0A">
      <w:pPr>
        <w:pStyle w:val="7"/>
        <w:widowControl/>
        <w:spacing w:line="560" w:lineRule="exact"/>
        <w:ind w:firstLine="640"/>
        <w:rPr>
          <w:rFonts w:ascii="楷体_GB2312" w:eastAsia="楷体_GB2312" w:cs="楷体_GB2312"/>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楷体_GB2312" w:eastAsia="楷体_GB2312" w:cs="楷体_GB2312"/>
          <w:color w:val="000000"/>
          <w:sz w:val="32"/>
          <w:szCs w:val="32"/>
          <w:lang w:eastAsia="zh-CN"/>
        </w:rPr>
        <w:t>谢家集区文化和旅游局</w:t>
      </w:r>
      <w:r>
        <w:rPr>
          <w:rFonts w:ascii="楷体_GB2312" w:eastAsia="楷体_GB2312" w:cs="楷体_GB2312"/>
          <w:color w:val="000000"/>
          <w:sz w:val="32"/>
          <w:szCs w:val="32"/>
        </w:rPr>
        <w:t>没有国有资本经营预算财政拨款收入，也没有使用国有资本经营预算财政拨款安排的支出</w:t>
      </w:r>
      <w:r>
        <w:rPr>
          <w:rFonts w:hint="eastAsia" w:ascii="仿宋" w:hAnsi="仿宋" w:eastAsia="仿宋" w:cs="仿宋"/>
          <w:color w:val="000000"/>
          <w:sz w:val="32"/>
          <w:szCs w:val="32"/>
          <w:lang w:val="en-US" w:eastAsia="zh-CN"/>
        </w:rPr>
        <w:t xml:space="preserve"> </w:t>
      </w:r>
      <w:r>
        <w:rPr>
          <w:rFonts w:ascii="楷体_GB2312" w:eastAsia="楷体_GB2312" w:cs="楷体_GB2312"/>
          <w:color w:val="000000"/>
          <w:sz w:val="32"/>
          <w:szCs w:val="32"/>
        </w:rPr>
        <w:t>。</w:t>
      </w:r>
    </w:p>
    <w:p w14:paraId="23E3954F">
      <w:pPr>
        <w:pStyle w:val="7"/>
        <w:widowControl/>
        <w:snapToGrid w:val="0"/>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九、其他重要事项情况说明</w:t>
      </w:r>
    </w:p>
    <w:p w14:paraId="5F53CC15">
      <w:pPr>
        <w:pStyle w:val="7"/>
        <w:widowControl/>
        <w:snapToGrid w:val="0"/>
        <w:spacing w:line="560" w:lineRule="exact"/>
        <w:ind w:firstLine="640"/>
        <w:rPr>
          <w:rFonts w:ascii="楷体_GB2312" w:eastAsia="楷体_GB2312" w:cs="楷体_GB2312"/>
          <w:color w:val="000000"/>
          <w:sz w:val="32"/>
          <w:szCs w:val="32"/>
        </w:rPr>
      </w:pPr>
      <w:r>
        <w:rPr>
          <w:rFonts w:ascii="楷体_GB2312" w:eastAsia="楷体_GB2312" w:cs="楷体_GB2312"/>
          <w:color w:val="000000"/>
          <w:sz w:val="32"/>
          <w:szCs w:val="32"/>
        </w:rPr>
        <w:t>（一）机关运行经费支出情况。</w:t>
      </w:r>
    </w:p>
    <w:p w14:paraId="46C0A545">
      <w:pPr>
        <w:pStyle w:val="7"/>
        <w:widowControl/>
        <w:ind w:firstLine="640"/>
        <w:rPr>
          <w:rFonts w:hint="default" w:ascii="仿宋_GB2312" w:eastAsia="仿宋_GB2312" w:cs="仿宋_GB2312"/>
          <w:color w:val="000000"/>
          <w:sz w:val="32"/>
          <w:szCs w:val="32"/>
          <w:lang w:val="en-US" w:eastAsia="zh-CN"/>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年度，淮南市</w:t>
      </w:r>
      <w:r>
        <w:rPr>
          <w:rFonts w:hint="eastAsia" w:ascii="仿宋_GB2312" w:eastAsia="仿宋_GB2312" w:cs="仿宋_GB2312"/>
          <w:color w:val="000000"/>
          <w:sz w:val="32"/>
          <w:szCs w:val="32"/>
        </w:rPr>
        <w:t>谢</w:t>
      </w:r>
      <w:r>
        <w:rPr>
          <w:rFonts w:hint="eastAsia" w:ascii="楷体_GB2312" w:eastAsia="楷体_GB2312" w:cs="楷体_GB2312"/>
          <w:color w:val="000000"/>
          <w:sz w:val="32"/>
          <w:szCs w:val="32"/>
          <w:lang w:eastAsia="zh-CN"/>
        </w:rPr>
        <w:t>谢家集区文化和旅游局</w:t>
      </w:r>
      <w:r>
        <w:rPr>
          <w:rFonts w:ascii="仿宋_GB2312" w:eastAsia="仿宋_GB2312" w:cs="仿宋_GB2312"/>
          <w:color w:val="000000"/>
          <w:sz w:val="32"/>
          <w:szCs w:val="32"/>
        </w:rPr>
        <w:t>机关运行经费支出</w:t>
      </w:r>
      <w:r>
        <w:rPr>
          <w:rFonts w:hint="eastAsia" w:ascii="仿宋_GB2312" w:eastAsia="仿宋_GB2312" w:cs="仿宋_GB2312"/>
          <w:color w:val="000000"/>
          <w:sz w:val="32"/>
          <w:szCs w:val="32"/>
          <w:lang w:val="en-US" w:eastAsia="zh-CN"/>
        </w:rPr>
        <w:t>58.19</w:t>
      </w:r>
      <w:r>
        <w:rPr>
          <w:rFonts w:ascii="仿宋_GB2312" w:eastAsia="仿宋_GB2312" w:cs="仿宋_GB2312"/>
          <w:color w:val="000000"/>
          <w:sz w:val="32"/>
          <w:szCs w:val="32"/>
        </w:rPr>
        <w:t>万元，比20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w:t>
      </w:r>
      <w:r>
        <w:rPr>
          <w:rFonts w:hint="eastAsia" w:ascii="仿宋_GB2312" w:eastAsia="仿宋_GB2312" w:cs="仿宋_GB2312"/>
          <w:color w:val="000000"/>
          <w:sz w:val="32"/>
          <w:szCs w:val="32"/>
          <w:lang w:val="en-US" w:eastAsia="zh-CN"/>
        </w:rPr>
        <w:t xml:space="preserve"> 增加10.58</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增加22</w:t>
      </w:r>
      <w:r>
        <w:rPr>
          <w:rFonts w:ascii="仿宋_GB2312" w:eastAsia="仿宋_GB2312" w:cs="仿宋_GB2312"/>
          <w:color w:val="000000"/>
          <w:sz w:val="32"/>
          <w:szCs w:val="32"/>
        </w:rPr>
        <w:t>%，</w:t>
      </w:r>
      <w:r>
        <w:rPr>
          <w:rFonts w:hint="eastAsia" w:ascii="仿宋_GB2312" w:eastAsia="仿宋_GB2312" w:cs="仿宋_GB2312"/>
          <w:color w:val="000000"/>
          <w:sz w:val="32"/>
          <w:szCs w:val="32"/>
          <w:lang w:eastAsia="zh-CN"/>
        </w:rPr>
        <w:t>主要原因</w:t>
      </w:r>
      <w:r>
        <w:rPr>
          <w:rFonts w:ascii="仿宋_GB2312" w:eastAsia="仿宋_GB2312" w:cs="仿宋_GB2312"/>
          <w:color w:val="000000"/>
          <w:sz w:val="32"/>
          <w:szCs w:val="32"/>
        </w:rPr>
        <w:t>是</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列支科目有变动。</w:t>
      </w:r>
    </w:p>
    <w:p w14:paraId="7494A2C5">
      <w:pPr>
        <w:pStyle w:val="7"/>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（二）政府采购支出情况。</w:t>
      </w:r>
    </w:p>
    <w:p w14:paraId="37B5C84E">
      <w:pPr>
        <w:pStyle w:val="7"/>
        <w:widowControl/>
        <w:snapToGrid w:val="0"/>
        <w:spacing w:line="600" w:lineRule="atLeas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年度，淮南市</w:t>
      </w:r>
      <w:r>
        <w:rPr>
          <w:rFonts w:hint="eastAsia" w:ascii="楷体_GB2312" w:eastAsia="楷体_GB2312" w:cs="楷体_GB2312"/>
          <w:color w:val="000000"/>
          <w:sz w:val="32"/>
          <w:szCs w:val="32"/>
          <w:lang w:eastAsia="zh-CN"/>
        </w:rPr>
        <w:t>谢家集区文化和旅游局</w:t>
      </w:r>
      <w:r>
        <w:rPr>
          <w:rFonts w:ascii="仿宋_GB2312" w:eastAsia="仿宋_GB2312" w:cs="仿宋_GB2312"/>
          <w:color w:val="000000"/>
          <w:sz w:val="32"/>
          <w:szCs w:val="32"/>
        </w:rPr>
        <w:t>政府采购支出总额</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w:t>
      </w:r>
    </w:p>
    <w:p w14:paraId="360985CF">
      <w:pPr>
        <w:pStyle w:val="7"/>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（三）国有资产占有使用情况。</w:t>
      </w:r>
    </w:p>
    <w:p w14:paraId="1FD76E36">
      <w:pPr>
        <w:pStyle w:val="7"/>
        <w:widowControl/>
        <w:snapToGrid w:val="0"/>
        <w:spacing w:line="600" w:lineRule="atLeast"/>
        <w:ind w:firstLine="640"/>
        <w:rPr>
          <w:rFonts w:ascii="楷体_GB2312" w:eastAsia="楷体_GB2312" w:cs="楷体_GB2312"/>
          <w:color w:val="000000"/>
          <w:sz w:val="32"/>
          <w:szCs w:val="32"/>
        </w:rPr>
      </w:pPr>
      <w:r>
        <w:rPr>
          <w:rFonts w:ascii="仿宋_GB2312" w:eastAsia="仿宋_GB2312" w:cs="仿宋_GB2312"/>
          <w:color w:val="000000"/>
          <w:sz w:val="32"/>
          <w:szCs w:val="32"/>
        </w:rPr>
        <w:t>截至202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年12月31日，淮南市</w:t>
      </w:r>
      <w:r>
        <w:rPr>
          <w:rFonts w:hint="eastAsia" w:ascii="楷体_GB2312" w:eastAsia="楷体_GB2312" w:cs="楷体_GB2312"/>
          <w:color w:val="000000"/>
          <w:sz w:val="32"/>
          <w:szCs w:val="32"/>
          <w:lang w:eastAsia="zh-CN"/>
        </w:rPr>
        <w:t>谢家集区文化和旅游局</w:t>
      </w:r>
      <w:r>
        <w:rPr>
          <w:rFonts w:ascii="仿宋_GB2312" w:eastAsia="仿宋_GB2312" w:cs="仿宋_GB2312"/>
          <w:color w:val="000000"/>
          <w:sz w:val="32"/>
          <w:szCs w:val="32"/>
        </w:rPr>
        <w:t>共有车辆</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单价50万元以上的通用设备</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台</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，单价100万元以上专用设备</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台</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r>
        <w:rPr>
          <w:rFonts w:ascii="楷体_GB2312" w:eastAsia="楷体_GB2312" w:cs="楷体_GB2312"/>
          <w:color w:val="000000"/>
          <w:sz w:val="32"/>
          <w:szCs w:val="32"/>
        </w:rPr>
        <w:br w:type="textWrapping"/>
      </w:r>
      <w:r>
        <w:rPr>
          <w:rFonts w:ascii="楷体_GB2312" w:eastAsia="楷体_GB2312" w:cs="楷体_GB2312"/>
          <w:color w:val="000000"/>
          <w:sz w:val="32"/>
          <w:szCs w:val="32"/>
        </w:rPr>
        <w:t xml:space="preserve">    （四）关于202</w:t>
      </w:r>
      <w:r>
        <w:rPr>
          <w:rFonts w:hint="eastAsia" w:ascii="楷体_GB2312" w:eastAsia="楷体_GB2312" w:cs="楷体_GB2312"/>
          <w:color w:val="000000"/>
          <w:sz w:val="32"/>
          <w:szCs w:val="32"/>
          <w:lang w:val="en-US" w:eastAsia="zh-CN"/>
        </w:rPr>
        <w:t>3</w:t>
      </w:r>
      <w:r>
        <w:rPr>
          <w:rFonts w:ascii="楷体_GB2312" w:eastAsia="楷体_GB2312" w:cs="楷体_GB2312"/>
          <w:color w:val="000000"/>
          <w:sz w:val="32"/>
          <w:szCs w:val="32"/>
        </w:rPr>
        <w:t>年度预算绩效情况说明</w:t>
      </w:r>
    </w:p>
    <w:p w14:paraId="3CE1F381">
      <w:pPr>
        <w:pStyle w:val="7"/>
        <w:widowControl/>
        <w:ind w:firstLine="640"/>
        <w:rPr>
          <w:rFonts w:ascii="仿宋_GB2312" w:eastAsia="仿宋_GB2312" w:cs="仿宋_GB2312"/>
          <w:b/>
          <w:color w:val="000000"/>
          <w:sz w:val="32"/>
          <w:szCs w:val="32"/>
        </w:rPr>
      </w:pPr>
      <w:r>
        <w:rPr>
          <w:rFonts w:ascii="仿宋_GB2312" w:eastAsia="仿宋_GB2312" w:cs="仿宋_GB2312"/>
          <w:b/>
          <w:color w:val="000000"/>
          <w:sz w:val="32"/>
          <w:szCs w:val="32"/>
        </w:rPr>
        <w:t>1.预算绩效管理工作开展情况</w:t>
      </w:r>
    </w:p>
    <w:p w14:paraId="7B7107C8">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rPr>
      </w:pPr>
      <w:r>
        <w:rPr>
          <w:rFonts w:hint="eastAsia" w:ascii="仿宋_GB2312" w:hAnsi="Calibri" w:eastAsia="仿宋_GB2312" w:cs="仿宋_GB2312"/>
          <w:color w:val="000000"/>
          <w:kern w:val="0"/>
          <w:sz w:val="32"/>
          <w:szCs w:val="32"/>
          <w:lang w:val="en-US" w:eastAsia="zh-CN"/>
        </w:rPr>
        <w:t>根据预算绩效管理要求，本部门组织对202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年度纳入部门预算的项目支出全面开展了绩效自评，共</w:t>
      </w:r>
      <w:r>
        <w:rPr>
          <w:rFonts w:hint="eastAsia" w:ascii="仿宋_GB2312" w:eastAsia="仿宋_GB2312" w:cs="仿宋_GB2312"/>
          <w:color w:val="000000"/>
          <w:kern w:val="0"/>
          <w:sz w:val="32"/>
          <w:szCs w:val="32"/>
          <w:lang w:val="en-US" w:eastAsia="zh-CN"/>
        </w:rPr>
        <w:t>1</w:t>
      </w:r>
      <w:r>
        <w:rPr>
          <w:rFonts w:hint="eastAsia" w:ascii="仿宋_GB2312" w:hAnsi="Calibri" w:eastAsia="仿宋_GB2312" w:cs="仿宋_GB2312"/>
          <w:color w:val="000000"/>
          <w:kern w:val="0"/>
          <w:sz w:val="32"/>
          <w:szCs w:val="32"/>
          <w:lang w:val="en-US" w:eastAsia="zh-CN"/>
        </w:rPr>
        <w:t>个项目，涉及资金</w:t>
      </w:r>
      <w:r>
        <w:rPr>
          <w:rFonts w:hint="eastAsia" w:ascii="仿宋_GB2312" w:eastAsia="仿宋_GB2312" w:cs="仿宋_GB2312"/>
          <w:color w:val="000000"/>
          <w:kern w:val="0"/>
          <w:sz w:val="32"/>
          <w:szCs w:val="32"/>
          <w:lang w:val="en-US" w:eastAsia="zh-CN"/>
        </w:rPr>
        <w:t>70</w:t>
      </w:r>
      <w:r>
        <w:rPr>
          <w:rFonts w:hint="eastAsia" w:ascii="仿宋_GB2312" w:hAnsi="Calibri" w:eastAsia="仿宋_GB2312" w:cs="仿宋_GB2312"/>
          <w:color w:val="000000"/>
          <w:kern w:val="0"/>
          <w:sz w:val="32"/>
          <w:szCs w:val="32"/>
          <w:lang w:val="en-US" w:eastAsia="zh-CN"/>
        </w:rPr>
        <w:t>万元，占项目预算总额的100%。评价结果显示,项目立项单位职责管理,绩效目标合理,项目较好完成了目标任务,产生较好的经济效益和社会效益基本实现了年度绩效目标。</w:t>
      </w:r>
    </w:p>
    <w:p w14:paraId="47A6C1B0">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rPr>
      </w:pPr>
      <w:r>
        <w:rPr>
          <w:rFonts w:hint="eastAsia" w:ascii="仿宋_GB2312" w:hAnsi="Calibri" w:eastAsia="仿宋_GB2312" w:cs="仿宋_GB2312"/>
          <w:color w:val="000000"/>
          <w:kern w:val="0"/>
          <w:sz w:val="32"/>
          <w:szCs w:val="32"/>
          <w:lang w:val="en-US" w:eastAsia="zh-CN"/>
        </w:rPr>
        <w:t>本部门202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年度没有部门评价项目。</w:t>
      </w:r>
    </w:p>
    <w:p w14:paraId="3849F030">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rPr>
      </w:pPr>
      <w:r>
        <w:rPr>
          <w:rFonts w:hint="eastAsia" w:ascii="仿宋_GB2312" w:hAnsi="Calibri" w:eastAsia="仿宋_GB2312" w:cs="仿宋_GB2312"/>
          <w:color w:val="000000"/>
          <w:kern w:val="0"/>
          <w:sz w:val="32"/>
          <w:szCs w:val="32"/>
          <w:lang w:val="en-US" w:eastAsia="zh-CN"/>
        </w:rPr>
        <w:t>组织开展202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年度部门整体支出绩效自评。评价结果显示，淮南市谢家集区</w:t>
      </w:r>
      <w:r>
        <w:rPr>
          <w:rFonts w:hint="eastAsia" w:ascii="仿宋_GB2312" w:eastAsia="仿宋_GB2312" w:cs="仿宋_GB2312"/>
          <w:color w:val="000000"/>
          <w:kern w:val="0"/>
          <w:sz w:val="32"/>
          <w:szCs w:val="32"/>
          <w:lang w:val="en-US" w:eastAsia="zh-CN"/>
        </w:rPr>
        <w:t>文化和旅游局</w:t>
      </w:r>
      <w:r>
        <w:rPr>
          <w:rFonts w:hint="eastAsia" w:ascii="仿宋_GB2312" w:hAnsi="Calibri" w:eastAsia="仿宋_GB2312" w:cs="仿宋_GB2312"/>
          <w:color w:val="000000"/>
          <w:kern w:val="0"/>
          <w:sz w:val="32"/>
          <w:szCs w:val="32"/>
          <w:lang w:val="en-US" w:eastAsia="zh-CN"/>
        </w:rPr>
        <w:t>对预算绩效管理工作重视程度加强。从制定的绩效目标以及执行效果来看，淮南市谢家集区</w:t>
      </w:r>
      <w:r>
        <w:rPr>
          <w:rFonts w:hint="eastAsia" w:ascii="仿宋_GB2312" w:eastAsia="仿宋_GB2312" w:cs="仿宋_GB2312"/>
          <w:color w:val="000000"/>
          <w:kern w:val="0"/>
          <w:sz w:val="32"/>
          <w:szCs w:val="32"/>
          <w:lang w:val="en-US" w:eastAsia="zh-CN"/>
        </w:rPr>
        <w:t>文化和旅游局</w:t>
      </w:r>
      <w:r>
        <w:rPr>
          <w:rFonts w:hint="eastAsia" w:ascii="仿宋_GB2312" w:hAnsi="Calibri" w:eastAsia="仿宋_GB2312" w:cs="仿宋_GB2312"/>
          <w:color w:val="000000"/>
          <w:kern w:val="0"/>
          <w:sz w:val="32"/>
          <w:szCs w:val="32"/>
          <w:lang w:val="en-US" w:eastAsia="zh-CN"/>
        </w:rPr>
        <w:t>预算资金在产出、效益和满意度绩效指标方面均取得较好的执行效果，三公经费得到了有效控制，项目支出管理规范性整体较好。</w:t>
      </w:r>
    </w:p>
    <w:p w14:paraId="47293630">
      <w:pPr>
        <w:pStyle w:val="7"/>
        <w:widowControl/>
        <w:numPr>
          <w:ilvl w:val="0"/>
          <w:numId w:val="1"/>
        </w:numPr>
        <w:ind w:firstLine="640"/>
        <w:rPr>
          <w:rFonts w:ascii="仿宋_GB2312" w:eastAsia="仿宋_GB2312" w:cs="仿宋_GB2312"/>
          <w:b/>
          <w:color w:val="000000"/>
          <w:sz w:val="32"/>
          <w:szCs w:val="32"/>
        </w:rPr>
      </w:pPr>
      <w:r>
        <w:rPr>
          <w:rFonts w:ascii="仿宋_GB2312" w:eastAsia="仿宋_GB2312" w:cs="仿宋_GB2312"/>
          <w:b/>
          <w:color w:val="000000"/>
          <w:sz w:val="32"/>
          <w:szCs w:val="32"/>
        </w:rPr>
        <w:t>部门决算中项目绩效自评结果</w:t>
      </w:r>
    </w:p>
    <w:p w14:paraId="40DAD43D">
      <w:pPr>
        <w:pStyle w:val="7"/>
        <w:widowControl/>
        <w:numPr>
          <w:ilvl w:val="0"/>
          <w:numId w:val="0"/>
        </w:numPr>
        <w:ind w:left="640" w:leftChars="0" w:right="0" w:rightChars="0"/>
        <w:rPr>
          <w:rFonts w:ascii="仿宋_GB2312" w:eastAsia="仿宋_GB2312" w:cs="仿宋_GB2312"/>
          <w:b/>
          <w:color w:val="000000"/>
          <w:sz w:val="32"/>
          <w:szCs w:val="32"/>
        </w:rPr>
      </w:pPr>
      <w:r>
        <w:rPr>
          <w:rFonts w:hint="eastAsia" w:ascii="仿宋_GB2312" w:eastAsia="仿宋_GB2312" w:cs="仿宋_GB2312"/>
          <w:color w:val="000000"/>
          <w:kern w:val="0"/>
          <w:sz w:val="32"/>
          <w:szCs w:val="32"/>
          <w:lang w:val="en-US" w:eastAsia="zh-CN"/>
        </w:rPr>
        <w:t>淮南市谢家集区文化和旅游局</w:t>
      </w:r>
      <w:r>
        <w:rPr>
          <w:rFonts w:hint="eastAsia" w:ascii="仿宋_GB2312" w:hAnsi="Calibri" w:eastAsia="仿宋_GB2312" w:cs="仿宋_GB2312"/>
          <w:color w:val="000000"/>
          <w:kern w:val="0"/>
          <w:sz w:val="32"/>
          <w:szCs w:val="32"/>
          <w:lang w:val="en-US" w:eastAsia="zh-CN"/>
        </w:rPr>
        <w:t>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年度部门决算中反映“202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w:t>
      </w:r>
      <w:r>
        <w:rPr>
          <w:rFonts w:hint="eastAsia" w:ascii="仿宋_GB2312" w:eastAsia="仿宋_GB2312" w:cs="仿宋_GB2312"/>
          <w:color w:val="000000"/>
          <w:kern w:val="0"/>
          <w:sz w:val="32"/>
          <w:szCs w:val="32"/>
          <w:lang w:val="en-US" w:eastAsia="zh-CN"/>
        </w:rPr>
        <w:t>公共文化场馆免费开放</w:t>
      </w:r>
      <w:r>
        <w:rPr>
          <w:rFonts w:hint="eastAsia" w:ascii="仿宋_GB2312" w:hAnsi="Calibri" w:eastAsia="仿宋_GB2312" w:cs="仿宋_GB2312"/>
          <w:color w:val="000000"/>
          <w:kern w:val="0"/>
          <w:sz w:val="32"/>
          <w:szCs w:val="32"/>
          <w:lang w:val="en-US" w:eastAsia="zh-CN"/>
        </w:rPr>
        <w:t>”</w:t>
      </w:r>
      <w:r>
        <w:rPr>
          <w:rFonts w:hint="eastAsia" w:ascii="仿宋_GB2312" w:eastAsia="仿宋_GB2312" w:cs="仿宋_GB2312"/>
          <w:color w:val="000000"/>
          <w:kern w:val="0"/>
          <w:sz w:val="32"/>
          <w:szCs w:val="32"/>
          <w:lang w:val="en-US" w:eastAsia="zh-CN"/>
        </w:rPr>
        <w:t>1</w:t>
      </w:r>
      <w:r>
        <w:rPr>
          <w:rFonts w:hint="eastAsia" w:ascii="仿宋_GB2312" w:hAnsi="Calibri" w:eastAsia="仿宋_GB2312" w:cs="仿宋_GB2312"/>
          <w:color w:val="000000"/>
          <w:kern w:val="0"/>
          <w:sz w:val="32"/>
          <w:szCs w:val="32"/>
          <w:lang w:val="en-US" w:eastAsia="zh-CN"/>
        </w:rPr>
        <w:t>个项目绩效自评结果。</w:t>
      </w:r>
    </w:p>
    <w:tbl>
      <w:tblPr>
        <w:tblStyle w:val="3"/>
        <w:tblpPr w:leftFromText="180" w:rightFromText="180" w:vertAnchor="text" w:horzAnchor="page" w:tblpX="602" w:tblpY="2702"/>
        <w:tblOverlap w:val="never"/>
        <w:tblW w:w="11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5"/>
        <w:gridCol w:w="900"/>
        <w:gridCol w:w="1035"/>
        <w:gridCol w:w="2295"/>
        <w:gridCol w:w="1230"/>
        <w:gridCol w:w="645"/>
        <w:gridCol w:w="810"/>
        <w:gridCol w:w="1065"/>
        <w:gridCol w:w="555"/>
        <w:gridCol w:w="690"/>
        <w:gridCol w:w="915"/>
        <w:gridCol w:w="705"/>
      </w:tblGrid>
      <w:tr w14:paraId="3AD5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400" w:type="dxa"/>
            <w:gridSpan w:val="12"/>
            <w:tcBorders>
              <w:top w:val="nil"/>
              <w:left w:val="nil"/>
              <w:bottom w:val="nil"/>
              <w:right w:val="nil"/>
            </w:tcBorders>
            <w:shd w:val="clear" w:color="auto" w:fill="auto"/>
            <w:vAlign w:val="center"/>
          </w:tcPr>
          <w:p w14:paraId="323ED6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32"/>
                <w:szCs w:val="32"/>
                <w:u w:val="none"/>
              </w:rPr>
            </w:pPr>
            <w:r>
              <w:rPr>
                <w:rStyle w:val="12"/>
                <w:rFonts w:ascii="宋体" w:hAnsi="宋体" w:eastAsia="宋体" w:cs="宋体"/>
                <w:sz w:val="24"/>
                <w:szCs w:val="24"/>
                <w:lang w:val="en-US" w:eastAsia="zh-CN" w:bidi="ar"/>
              </w:rPr>
              <w:t>项目支出绩效自评表</w:t>
            </w:r>
            <w:r>
              <w:rPr>
                <w:rStyle w:val="13"/>
                <w:lang w:val="en-US" w:eastAsia="zh-CN" w:bidi="ar"/>
              </w:rPr>
              <w:t xml:space="preserve"> </w:t>
            </w:r>
          </w:p>
        </w:tc>
      </w:tr>
      <w:tr w14:paraId="2CCAA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1400" w:type="dxa"/>
            <w:gridSpan w:val="12"/>
            <w:tcBorders>
              <w:top w:val="nil"/>
              <w:left w:val="nil"/>
              <w:bottom w:val="single" w:color="000000" w:sz="4" w:space="0"/>
              <w:right w:val="nil"/>
            </w:tcBorders>
            <w:shd w:val="clear" w:color="auto" w:fill="auto"/>
            <w:vAlign w:val="top"/>
          </w:tcPr>
          <w:p w14:paraId="304A7D40">
            <w:pPr>
              <w:keepNext w:val="0"/>
              <w:keepLines w:val="0"/>
              <w:widowControl/>
              <w:suppressLineNumbers w:val="0"/>
              <w:spacing w:before="0" w:beforeAutospacing="0" w:after="0" w:afterAutospacing="0"/>
              <w:ind w:left="0" w:right="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 xml:space="preserve"> 年度）</w:t>
            </w:r>
          </w:p>
        </w:tc>
      </w:tr>
      <w:tr w14:paraId="65313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2CC1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891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13F4A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公共文化场馆免费开放</w:t>
            </w:r>
          </w:p>
        </w:tc>
      </w:tr>
      <w:tr w14:paraId="4A2E4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B39A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9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3D518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区文化和旅游局</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1B9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8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5F3C8B">
            <w:pPr>
              <w:keepNext w:val="0"/>
              <w:keepLines w:val="0"/>
              <w:suppressLineNumbers w:val="0"/>
              <w:spacing w:before="0" w:beforeAutospacing="0" w:after="0" w:afterAutospacing="0"/>
              <w:ind w:left="0" w:right="0"/>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区文化和旅游局</w:t>
            </w:r>
          </w:p>
        </w:tc>
      </w:tr>
      <w:tr w14:paraId="567B4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4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61AB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0C036E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E997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6E8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6CF8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BF2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D9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EC4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823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C65B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171A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5A0C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78EA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BFF945">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95</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0992F">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30.34</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4DB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F827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E130E">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w:t>
            </w:r>
          </w:p>
        </w:tc>
      </w:tr>
      <w:tr w14:paraId="2617E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7542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542F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Style w:val="14"/>
                <w:lang w:val="en-US" w:eastAsia="zh-CN" w:bidi="ar"/>
              </w:rPr>
              <w:t xml:space="preserve"> </w:t>
            </w:r>
            <w:r>
              <w:rPr>
                <w:rStyle w:val="15"/>
                <w:lang w:val="en-US" w:eastAsia="zh-CN" w:bidi="ar"/>
              </w:rPr>
              <w:t>其中：本年财政拨款</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7F4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8B023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01DF6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A2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AAD17">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99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7470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B5D1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3D1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7999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F3F1F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68B98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A9D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3FF7">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7A6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DB5D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4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448E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2885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Style w:val="14"/>
                <w:lang w:val="en-US" w:eastAsia="zh-CN" w:bidi="ar"/>
              </w:rPr>
              <w:t xml:space="preserve"> </w:t>
            </w:r>
            <w:r>
              <w:rPr>
                <w:rStyle w:val="15"/>
                <w:lang w:val="en-US" w:eastAsia="zh-CN" w:bidi="ar"/>
              </w:rPr>
              <w:t xml:space="preserve">      其他资金</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5017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575BB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E43E3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C9C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221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9F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5E8E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555" w:type="dxa"/>
            <w:vMerge w:val="restart"/>
            <w:tcBorders>
              <w:top w:val="single" w:color="000000" w:sz="4" w:space="0"/>
              <w:left w:val="single" w:color="000000" w:sz="4" w:space="0"/>
              <w:bottom w:val="nil"/>
              <w:right w:val="single" w:color="000000" w:sz="4" w:space="0"/>
            </w:tcBorders>
            <w:shd w:val="clear" w:color="auto" w:fill="auto"/>
            <w:vAlign w:val="center"/>
          </w:tcPr>
          <w:p w14:paraId="143AF9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69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BFE8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9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19B4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331F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701163D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691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73315B54">
            <w:pPr>
              <w:keepNext w:val="0"/>
              <w:keepLines w:val="0"/>
              <w:suppressLineNumbers w:val="0"/>
              <w:spacing w:before="0" w:beforeAutospacing="0" w:after="0" w:afterAutospacing="0"/>
              <w:ind w:left="0" w:right="0"/>
              <w:jc w:val="left"/>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eastAsia="zh-CN"/>
              </w:rPr>
              <w:t>免费开放满意度达到</w:t>
            </w:r>
            <w:r>
              <w:rPr>
                <w:rFonts w:hint="eastAsia" w:ascii="宋体" w:hAnsi="宋体" w:cs="宋体"/>
                <w:i w:val="0"/>
                <w:iCs w:val="0"/>
                <w:color w:val="000000"/>
                <w:sz w:val="20"/>
                <w:szCs w:val="20"/>
                <w:u w:val="none"/>
                <w:lang w:val="en-US" w:eastAsia="zh-CN"/>
              </w:rPr>
              <w:t>90%以上，按时开放场馆。</w:t>
            </w:r>
          </w:p>
        </w:tc>
        <w:tc>
          <w:tcPr>
            <w:tcW w:w="3930"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71A342DE">
            <w:pPr>
              <w:keepNext w:val="0"/>
              <w:keepLines w:val="0"/>
              <w:suppressLineNumbers w:val="0"/>
              <w:spacing w:before="0" w:beforeAutospacing="0" w:after="0" w:afterAutospacing="0"/>
              <w:ind w:left="0" w:right="0"/>
              <w:jc w:val="left"/>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eastAsia="zh-CN"/>
              </w:rPr>
              <w:t>满意度达</w:t>
            </w:r>
            <w:r>
              <w:rPr>
                <w:rFonts w:hint="eastAsia" w:ascii="宋体" w:hAnsi="宋体" w:cs="宋体"/>
                <w:i w:val="0"/>
                <w:iCs w:val="0"/>
                <w:color w:val="000000"/>
                <w:sz w:val="20"/>
                <w:szCs w:val="20"/>
                <w:u w:val="none"/>
                <w:lang w:val="en-US" w:eastAsia="zh-CN"/>
              </w:rPr>
              <w:t>100%</w:t>
            </w:r>
          </w:p>
        </w:tc>
      </w:tr>
      <w:tr w14:paraId="4699F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DCDD7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009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2E703D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B8A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1A3C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DBF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9AC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0BD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95E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530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EC29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DDE102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8612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622EEF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77DA52E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66A59A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3A570D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BB48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595F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指标1：免费开放馆、站数</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2EF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DC1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5D2D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DD3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D6B0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F13B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752FBC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88ED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925C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1B148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1E1A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C5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5190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2FD32">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0C8D9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9451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6EFEEF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DA792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9B8C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14:paraId="579267F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0794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59B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B6A8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3AD6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329A0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BEF0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B07994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1022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6C03B6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17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833142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810" w:type="dxa"/>
            <w:tcBorders>
              <w:top w:val="single" w:color="000000" w:sz="4" w:space="0"/>
              <w:left w:val="single" w:color="auto" w:sz="4" w:space="0"/>
              <w:bottom w:val="single" w:color="000000" w:sz="4" w:space="0"/>
              <w:right w:val="single" w:color="000000" w:sz="4" w:space="0"/>
            </w:tcBorders>
            <w:shd w:val="clear" w:color="auto" w:fill="auto"/>
            <w:vAlign w:val="center"/>
          </w:tcPr>
          <w:p w14:paraId="6B4F9A6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371F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5713B">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EE1A">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00F6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FA45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50FC0E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D67C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2E0E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14:paraId="574ABC4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90BD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280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AF71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6764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DF64A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11B3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015603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D3BCC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B933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E5CF6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2EB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A5C6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73BA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nil"/>
              <w:left w:val="nil"/>
              <w:bottom w:val="nil"/>
              <w:right w:val="nil"/>
            </w:tcBorders>
            <w:shd w:val="clear" w:color="auto" w:fill="auto"/>
            <w:noWrap/>
            <w:vAlign w:val="center"/>
          </w:tcPr>
          <w:p w14:paraId="181BEFB0">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E55FF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37C7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20C06B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0F46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D767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68804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按时间节点拔付情况</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F28E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E76C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5285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C320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02A6D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A0B7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EFBE22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0EB3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705A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67B6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AE8A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C599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FBCF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57CCE">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8B9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9F8F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716E0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7877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8455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A9F58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7242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3507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70C56">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31C10">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D1ED0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F4D6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5DBE57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FE845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934D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31F91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A1B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B3F3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828B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DE65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2CA02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5BF03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8E188C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6E0A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FC28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CB488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062F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3074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639B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0FF2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DDCD1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CB64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EE548E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018C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3841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C39CB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DB01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A30D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DEC9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21DA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1E05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0B763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8F6FA5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14FF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5FF6F5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7D7FB9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4E7272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4BC0E9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CEFC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7F55BB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812B2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50A9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EE8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F25D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5590">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817E0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14D8B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BD539B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3250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D07B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A6B17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D59D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AE28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B00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2B8A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216A6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B786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A5CD4E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C472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3E73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65567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5BE9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8CA4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2D21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F505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7DA1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0D5AD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7A870F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7846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A45F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692D3C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07E76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馆、站全面免费开放</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55F3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7E56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60C4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E912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82A05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11037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BBB060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1462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8DBB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09ACB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6010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2644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98180">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5101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35690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8535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FBAB45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0EBA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E5AA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9A4AD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CD2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6C1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BE26E">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1D08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2A52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5DE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5BC4B4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F48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EE7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3872DB9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8696D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53C5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6BD3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20DBB">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9039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AB0EA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2602E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871A25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E77A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707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3172E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70D7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1ACA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0AE1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F3FB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B873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A21B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1C896B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52CB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5BAD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1B3AF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04F9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2D402">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132C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42D9A">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5858F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C39B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BEAD76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7DEF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74FF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6EB6B7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E3050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8483B">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BE8E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5480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BBB28">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FC7B7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1F44C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E14DD1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D208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E8AD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BE06D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FF5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6CB4">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4F598">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C76BC">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D13E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F04E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8F6DA5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59BF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2F24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BBBD8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7847D">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CFF47">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84A1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15883">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C1A2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863F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5F323F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A62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101A95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7399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156A2D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E93D0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指标1：群众满意度</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DFDC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FD1A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CC01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5CC9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25C8E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F178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9BE57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E3B8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BF77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FEA8A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AAB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CB2AF">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09B52">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90182">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B878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96AC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938BA2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6047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58F0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1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CDC66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2FB66">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012F1">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7A9B5">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AEF79">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D0888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A8F3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660" w:type="dxa"/>
            <w:gridSpan w:val="6"/>
            <w:tcBorders>
              <w:top w:val="single" w:color="000000" w:sz="4" w:space="0"/>
              <w:left w:val="single" w:color="000000" w:sz="4" w:space="0"/>
              <w:bottom w:val="single" w:color="000000" w:sz="4" w:space="0"/>
              <w:right w:val="nil"/>
            </w:tcBorders>
            <w:shd w:val="clear" w:color="auto" w:fill="auto"/>
            <w:vAlign w:val="center"/>
          </w:tcPr>
          <w:p w14:paraId="1A14CC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810" w:type="dxa"/>
            <w:tcBorders>
              <w:top w:val="nil"/>
              <w:left w:val="nil"/>
              <w:bottom w:val="nil"/>
              <w:right w:val="nil"/>
            </w:tcBorders>
            <w:shd w:val="clear" w:color="auto" w:fill="auto"/>
            <w:noWrap/>
            <w:vAlign w:val="center"/>
          </w:tcPr>
          <w:p w14:paraId="780C5358">
            <w:pPr>
              <w:keepNext w:val="0"/>
              <w:keepLines w:val="0"/>
              <w:suppressLineNumbers w:val="0"/>
              <w:spacing w:before="0" w:beforeAutospacing="0" w:after="0" w:afterAutospacing="0"/>
              <w:ind w:left="0" w:right="0"/>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04A41">
            <w:pPr>
              <w:keepNext w:val="0"/>
              <w:keepLines w:val="0"/>
              <w:suppressLineNumbers w:val="0"/>
              <w:spacing w:before="0" w:beforeAutospacing="0" w:after="0" w:afterAutospacing="0"/>
              <w:ind w:left="0" w:right="0"/>
              <w:rPr>
                <w:rFonts w:hint="eastAsia" w:ascii="宋体" w:hAnsi="宋体" w:eastAsia="宋体" w:cs="宋体"/>
                <w:b/>
                <w:bCs/>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330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EE33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98</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9EDF5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2EF15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1400" w:type="dxa"/>
            <w:gridSpan w:val="12"/>
            <w:tcBorders>
              <w:top w:val="single" w:color="000000" w:sz="4" w:space="0"/>
              <w:left w:val="nil"/>
              <w:bottom w:val="nil"/>
              <w:right w:val="nil"/>
            </w:tcBorders>
            <w:shd w:val="clear" w:color="auto" w:fill="auto"/>
            <w:vAlign w:val="center"/>
          </w:tcPr>
          <w:p w14:paraId="229862D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18"/>
                <w:szCs w:val="18"/>
                <w:u w:val="none"/>
              </w:rPr>
            </w:pPr>
            <w:r>
              <w:rPr>
                <w:rStyle w:val="16"/>
                <w:lang w:val="en-US" w:eastAsia="zh-CN" w:bidi="ar"/>
              </w:rPr>
              <w:t>注：1</w:t>
            </w:r>
            <w:r>
              <w:rPr>
                <w:rStyle w:val="17"/>
                <w:lang w:val="en-US" w:eastAsia="zh-CN" w:bidi="ar"/>
              </w:rPr>
              <w:t>.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58919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 w:hRule="atLeast"/>
        </w:trPr>
        <w:tc>
          <w:tcPr>
            <w:tcW w:w="11400" w:type="dxa"/>
            <w:gridSpan w:val="12"/>
            <w:tcBorders>
              <w:top w:val="nil"/>
              <w:left w:val="nil"/>
              <w:bottom w:val="nil"/>
              <w:right w:val="nil"/>
            </w:tcBorders>
            <w:shd w:val="clear" w:color="auto" w:fill="auto"/>
            <w:vAlign w:val="center"/>
          </w:tcPr>
          <w:p w14:paraId="05923C2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4A2E9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1400" w:type="dxa"/>
            <w:gridSpan w:val="12"/>
            <w:tcBorders>
              <w:top w:val="nil"/>
              <w:left w:val="nil"/>
              <w:bottom w:val="nil"/>
              <w:right w:val="nil"/>
            </w:tcBorders>
            <w:shd w:val="clear" w:color="auto" w:fill="auto"/>
            <w:vAlign w:val="top"/>
          </w:tcPr>
          <w:p w14:paraId="4FD1255C">
            <w:pPr>
              <w:keepNext w:val="0"/>
              <w:keepLines w:val="0"/>
              <w:widowControl/>
              <w:suppressLineNumbers w:val="0"/>
              <w:spacing w:before="0" w:beforeAutospacing="0" w:after="0" w:afterAutospacing="0"/>
              <w:ind w:left="0" w:right="0"/>
              <w:jc w:val="left"/>
              <w:textAlignment w:val="top"/>
              <w:rPr>
                <w:rStyle w:val="17"/>
                <w:lang w:val="en-US" w:eastAsia="zh-CN" w:bidi="ar"/>
              </w:rPr>
            </w:pPr>
            <w:r>
              <w:rPr>
                <w:rStyle w:val="16"/>
                <w:lang w:val="en-US" w:eastAsia="zh-CN" w:bidi="ar"/>
              </w:rPr>
              <w:t xml:space="preserve">    3.定量指标若为正向指标（即指标值为</w:t>
            </w:r>
            <w:r>
              <w:rPr>
                <w:rStyle w:val="17"/>
                <w:lang w:val="en-US" w:eastAsia="zh-CN" w:bidi="ar"/>
              </w:rPr>
              <w:t>≥*），则得分计算方法应用全年实际值/年度指标值</w:t>
            </w:r>
            <w:r>
              <w:rPr>
                <w:rStyle w:val="18"/>
                <w:lang w:val="en-US" w:eastAsia="zh-CN" w:bidi="ar"/>
              </w:rPr>
              <w:t>╳</w:t>
            </w:r>
            <w:r>
              <w:rPr>
                <w:rStyle w:val="17"/>
                <w:lang w:val="en-US" w:eastAsia="zh-CN" w:bidi="ar"/>
              </w:rPr>
              <w:t>该指标分值；若定量指标为反向指标（即指标值为≤*），则得分计算方法应用年度指标值/全年实际值</w:t>
            </w:r>
            <w:r>
              <w:rPr>
                <w:rStyle w:val="18"/>
                <w:lang w:val="en-US" w:eastAsia="zh-CN" w:bidi="ar"/>
              </w:rPr>
              <w:t>╳</w:t>
            </w:r>
            <w:r>
              <w:rPr>
                <w:rStyle w:val="17"/>
                <w:lang w:val="en-US" w:eastAsia="zh-CN" w:bidi="ar"/>
              </w:rPr>
              <w:t>该指标分值；定量指标得分最高不得超过该指标分值上限。</w:t>
            </w:r>
          </w:p>
          <w:p w14:paraId="408EE073">
            <w:pPr>
              <w:keepNext w:val="0"/>
              <w:keepLines w:val="0"/>
              <w:widowControl/>
              <w:suppressLineNumbers w:val="0"/>
              <w:spacing w:before="0" w:beforeAutospacing="0" w:after="0" w:afterAutospacing="0"/>
              <w:ind w:left="0" w:right="0"/>
              <w:jc w:val="left"/>
              <w:textAlignment w:val="top"/>
              <w:rPr>
                <w:rFonts w:hint="eastAsia" w:ascii="宋体" w:hAnsi="宋体" w:eastAsia="宋体" w:cs="宋体"/>
                <w:i w:val="0"/>
                <w:iCs w:val="0"/>
                <w:color w:val="000000"/>
                <w:sz w:val="18"/>
                <w:szCs w:val="18"/>
                <w:u w:val="none"/>
              </w:rPr>
            </w:pPr>
            <w:r>
              <w:rPr>
                <w:rStyle w:val="17"/>
                <w:lang w:val="en-US" w:eastAsia="zh-CN" w:bidi="ar"/>
              </w:rPr>
              <w:t xml:space="preserve">    4.评价得分说明：说明全年实际值与年度指标值偏离情况（未达、持平、超额）。</w:t>
            </w:r>
          </w:p>
        </w:tc>
      </w:tr>
    </w:tbl>
    <w:p w14:paraId="7E2726BB">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bidi="ar"/>
        </w:rPr>
      </w:pPr>
      <w:r>
        <w:rPr>
          <w:rFonts w:hint="eastAsia" w:ascii="仿宋_GB2312" w:eastAsia="仿宋_GB2312" w:cs="仿宋_GB2312"/>
          <w:color w:val="000000"/>
          <w:kern w:val="0"/>
          <w:sz w:val="32"/>
          <w:szCs w:val="32"/>
          <w:lang w:eastAsia="zh-CN"/>
        </w:rPr>
        <w:t>文旅局</w:t>
      </w:r>
      <w:r>
        <w:rPr>
          <w:rFonts w:hint="eastAsia" w:ascii="仿宋_GB2312" w:hAnsi="Calibri" w:eastAsia="仿宋_GB2312" w:cs="仿宋_GB2312"/>
          <w:color w:val="000000"/>
          <w:kern w:val="0"/>
          <w:sz w:val="32"/>
          <w:szCs w:val="32"/>
          <w:lang w:val="en-US" w:eastAsia="zh-CN" w:bidi="ar"/>
        </w:rPr>
        <w:t>在202</w:t>
      </w:r>
      <w:r>
        <w:rPr>
          <w:rFonts w:hint="eastAsia" w:ascii="仿宋_GB2312" w:eastAsia="仿宋_GB2312" w:cs="仿宋_GB2312"/>
          <w:color w:val="000000"/>
          <w:kern w:val="0"/>
          <w:sz w:val="32"/>
          <w:szCs w:val="32"/>
          <w:lang w:val="en-US" w:eastAsia="zh-CN" w:bidi="ar"/>
        </w:rPr>
        <w:t>3</w:t>
      </w:r>
      <w:r>
        <w:rPr>
          <w:rFonts w:hint="eastAsia" w:ascii="仿宋_GB2312" w:hAnsi="Calibri" w:eastAsia="仿宋_GB2312" w:cs="仿宋_GB2312"/>
          <w:color w:val="000000"/>
          <w:kern w:val="0"/>
          <w:sz w:val="32"/>
          <w:szCs w:val="32"/>
          <w:lang w:val="en-US" w:eastAsia="zh-CN" w:bidi="ar"/>
        </w:rPr>
        <w:t>年度部门决算中反映“</w:t>
      </w:r>
      <w:r>
        <w:rPr>
          <w:rFonts w:hint="eastAsia" w:ascii="仿宋_GB2312" w:eastAsia="仿宋_GB2312" w:cs="仿宋_GB2312"/>
          <w:color w:val="000000"/>
          <w:kern w:val="0"/>
          <w:sz w:val="32"/>
          <w:szCs w:val="32"/>
          <w:lang w:val="en-US" w:eastAsia="zh-CN" w:bidi="ar"/>
        </w:rPr>
        <w:t>公共文化场馆免费开放</w:t>
      </w:r>
      <w:r>
        <w:rPr>
          <w:rFonts w:hint="eastAsia" w:ascii="仿宋_GB2312" w:hAnsi="Calibri"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１</w:t>
      </w:r>
      <w:r>
        <w:rPr>
          <w:rFonts w:hint="eastAsia" w:ascii="仿宋_GB2312" w:hAnsi="Calibri" w:eastAsia="仿宋_GB2312" w:cs="仿宋_GB2312"/>
          <w:color w:val="000000"/>
          <w:kern w:val="0"/>
          <w:sz w:val="32"/>
          <w:szCs w:val="32"/>
          <w:lang w:val="en-US" w:eastAsia="zh-CN" w:bidi="ar"/>
        </w:rPr>
        <w:t>个项目绩效自评结果。</w:t>
      </w:r>
    </w:p>
    <w:p w14:paraId="3CECB430">
      <w:pPr>
        <w:keepNext w:val="0"/>
        <w:keepLines w:val="0"/>
        <w:widowControl w:val="0"/>
        <w:suppressLineNumbers w:val="0"/>
        <w:spacing w:before="0" w:beforeAutospacing="0" w:after="0" w:afterAutospacing="0" w:line="560" w:lineRule="exact"/>
        <w:ind w:left="0" w:right="0" w:firstLine="640" w:firstLineChars="200"/>
        <w:jc w:val="both"/>
        <w:rPr>
          <w:rFonts w:ascii="仿宋_GB2312" w:eastAsia="仿宋_GB2312" w:cs="仿宋_GB2312"/>
          <w:color w:val="000000"/>
          <w:sz w:val="32"/>
          <w:szCs w:val="32"/>
        </w:rPr>
      </w:pPr>
      <w:r>
        <w:rPr>
          <w:rFonts w:hint="eastAsia" w:ascii="仿宋_GB2312" w:eastAsia="仿宋_GB2312" w:cs="仿宋_GB2312"/>
          <w:color w:val="000000"/>
          <w:kern w:val="0"/>
          <w:sz w:val="32"/>
          <w:szCs w:val="32"/>
          <w:lang w:val="en-US" w:eastAsia="zh-CN" w:bidi="ar"/>
        </w:rPr>
        <w:t>公共文化场馆</w:t>
      </w:r>
      <w:r>
        <w:rPr>
          <w:rFonts w:hint="eastAsia" w:ascii="仿宋_GB2312" w:hAnsi="Calibri" w:eastAsia="仿宋_GB2312" w:cs="仿宋_GB2312"/>
          <w:color w:val="000000"/>
          <w:kern w:val="0"/>
          <w:sz w:val="32"/>
          <w:szCs w:val="32"/>
          <w:lang w:val="en-US" w:eastAsia="zh-CN" w:bidi="ar"/>
        </w:rPr>
        <w:t>项目绩效自评综述：根据年初设定的绩效目标，项目绩效自评得分为</w:t>
      </w:r>
      <w:r>
        <w:rPr>
          <w:rFonts w:hint="eastAsia" w:ascii="仿宋_GB2312" w:eastAsia="仿宋_GB2312" w:cs="仿宋_GB2312"/>
          <w:color w:val="000000"/>
          <w:kern w:val="0"/>
          <w:sz w:val="32"/>
          <w:szCs w:val="32"/>
          <w:lang w:val="en-US" w:eastAsia="zh-CN" w:bidi="ar"/>
        </w:rPr>
        <w:t>98</w:t>
      </w:r>
      <w:r>
        <w:rPr>
          <w:rFonts w:hint="eastAsia" w:ascii="仿宋_GB2312" w:hAnsi="Calibri" w:eastAsia="仿宋_GB2312" w:cs="仿宋_GB2312"/>
          <w:color w:val="000000"/>
          <w:kern w:val="0"/>
          <w:sz w:val="32"/>
          <w:szCs w:val="32"/>
          <w:lang w:val="en-US" w:eastAsia="zh-CN" w:bidi="ar"/>
        </w:rPr>
        <w:t>分。全年预算数为</w:t>
      </w:r>
      <w:r>
        <w:rPr>
          <w:rFonts w:hint="eastAsia" w:ascii="仿宋_GB2312" w:eastAsia="仿宋_GB2312" w:cs="仿宋_GB2312"/>
          <w:color w:val="000000"/>
          <w:kern w:val="0"/>
          <w:sz w:val="32"/>
          <w:szCs w:val="32"/>
          <w:lang w:val="en-US" w:eastAsia="zh-CN" w:bidi="ar"/>
        </w:rPr>
        <w:t>95</w:t>
      </w:r>
      <w:r>
        <w:rPr>
          <w:rFonts w:hint="eastAsia" w:ascii="仿宋_GB2312" w:hAnsi="Calibri" w:eastAsia="仿宋_GB2312" w:cs="仿宋_GB2312"/>
          <w:color w:val="000000"/>
          <w:kern w:val="0"/>
          <w:sz w:val="32"/>
          <w:szCs w:val="32"/>
          <w:lang w:val="en-US" w:eastAsia="zh-CN" w:bidi="ar"/>
        </w:rPr>
        <w:t>万元，执行数为</w:t>
      </w:r>
      <w:r>
        <w:rPr>
          <w:rFonts w:hint="eastAsia" w:ascii="仿宋_GB2312" w:eastAsia="仿宋_GB2312" w:cs="仿宋_GB2312"/>
          <w:color w:val="000000"/>
          <w:kern w:val="0"/>
          <w:sz w:val="32"/>
          <w:szCs w:val="32"/>
          <w:lang w:val="en-US" w:eastAsia="zh-CN" w:bidi="ar"/>
        </w:rPr>
        <w:t>30.34</w:t>
      </w:r>
      <w:r>
        <w:rPr>
          <w:rFonts w:hint="eastAsia" w:ascii="仿宋_GB2312" w:hAnsi="Calibri" w:eastAsia="仿宋_GB2312" w:cs="仿宋_GB2312"/>
          <w:color w:val="000000"/>
          <w:kern w:val="0"/>
          <w:sz w:val="32"/>
          <w:szCs w:val="32"/>
          <w:lang w:val="en-US" w:eastAsia="zh-CN" w:bidi="ar"/>
        </w:rPr>
        <w:t>万元，完成预算的</w:t>
      </w:r>
      <w:r>
        <w:rPr>
          <w:rFonts w:hint="eastAsia" w:ascii="仿宋_GB2312" w:eastAsia="仿宋_GB2312" w:cs="仿宋_GB2312"/>
          <w:color w:val="000000"/>
          <w:kern w:val="0"/>
          <w:sz w:val="32"/>
          <w:szCs w:val="32"/>
          <w:lang w:val="en-US" w:eastAsia="zh-CN" w:bidi="ar"/>
        </w:rPr>
        <w:t>32</w:t>
      </w:r>
      <w:r>
        <w:rPr>
          <w:rFonts w:hint="eastAsia" w:ascii="仿宋_GB2312" w:hAnsi="Calibri" w:eastAsia="仿宋_GB2312" w:cs="仿宋_GB2312"/>
          <w:color w:val="000000"/>
          <w:kern w:val="0"/>
          <w:sz w:val="32"/>
          <w:szCs w:val="32"/>
          <w:lang w:val="en-US" w:eastAsia="zh-CN" w:bidi="ar"/>
        </w:rPr>
        <w:t>%。项目绩效目标完成情况：一</w:t>
      </w:r>
      <w:r>
        <w:rPr>
          <w:rFonts w:hint="eastAsia" w:ascii="仿宋_GB2312" w:eastAsia="仿宋_GB2312" w:cs="仿宋_GB2312"/>
          <w:color w:val="000000"/>
          <w:kern w:val="0"/>
          <w:sz w:val="32"/>
          <w:szCs w:val="32"/>
          <w:lang w:val="en-US" w:eastAsia="zh-CN" w:bidi="ar"/>
        </w:rPr>
        <w:t>是全区馆、站共8个全面实现免费开放</w:t>
      </w:r>
      <w:r>
        <w:rPr>
          <w:rFonts w:hint="eastAsia" w:ascii="仿宋_GB2312" w:hAnsi="Calibri" w:eastAsia="仿宋_GB2312" w:cs="仿宋_GB2312"/>
          <w:color w:val="000000"/>
          <w:kern w:val="0"/>
          <w:sz w:val="32"/>
          <w:szCs w:val="32"/>
          <w:lang w:val="en-US" w:eastAsia="zh-CN" w:bidi="ar"/>
        </w:rPr>
        <w:t>；二是</w:t>
      </w:r>
      <w:r>
        <w:rPr>
          <w:rFonts w:hint="eastAsia" w:ascii="仿宋_GB2312" w:eastAsia="仿宋_GB2312" w:cs="仿宋_GB2312"/>
          <w:color w:val="000000"/>
          <w:kern w:val="0"/>
          <w:sz w:val="32"/>
          <w:szCs w:val="32"/>
          <w:lang w:val="en-US" w:eastAsia="zh-CN" w:bidi="ar"/>
        </w:rPr>
        <w:t>经费按时间节点合规拔付</w:t>
      </w:r>
      <w:r>
        <w:rPr>
          <w:rFonts w:hint="eastAsia" w:ascii="仿宋" w:hAnsi="仿宋" w:eastAsia="仿宋" w:cs="仿宋"/>
          <w:bCs/>
          <w:kern w:val="2"/>
          <w:sz w:val="32"/>
          <w:szCs w:val="32"/>
          <w:lang w:val="en-US" w:eastAsia="zh-CN" w:bidi="ar"/>
        </w:rPr>
        <w:t>。</w:t>
      </w:r>
    </w:p>
    <w:p w14:paraId="42BD38C9">
      <w:pPr>
        <w:pStyle w:val="7"/>
        <w:widowControl/>
        <w:numPr>
          <w:ilvl w:val="0"/>
          <w:numId w:val="2"/>
        </w:numPr>
        <w:ind w:firstLine="640"/>
        <w:rPr>
          <w:rFonts w:ascii="仿宋_GB2312" w:eastAsia="仿宋_GB2312" w:cs="仿宋_GB2312"/>
          <w:b/>
          <w:color w:val="000000"/>
          <w:sz w:val="32"/>
          <w:szCs w:val="32"/>
        </w:rPr>
      </w:pPr>
      <w:r>
        <w:rPr>
          <w:rFonts w:ascii="仿宋_GB2312" w:eastAsia="仿宋_GB2312" w:cs="仿宋_GB2312"/>
          <w:b/>
          <w:color w:val="000000"/>
          <w:sz w:val="32"/>
          <w:szCs w:val="32"/>
        </w:rPr>
        <w:t>部门评价项目绩效评价结果。</w:t>
      </w:r>
    </w:p>
    <w:p w14:paraId="6BFFDB5C">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ascii="仿宋_GB2312" w:eastAsia="仿宋_GB2312" w:cs="仿宋_GB2312"/>
          <w:b/>
          <w:color w:val="000000"/>
          <w:sz w:val="32"/>
          <w:szCs w:val="32"/>
        </w:rPr>
      </w:pPr>
      <w:r>
        <w:rPr>
          <w:rFonts w:hint="eastAsia" w:ascii="仿宋_GB2312" w:hAnsi="Calibri" w:eastAsia="仿宋_GB2312" w:cs="仿宋_GB2312"/>
          <w:color w:val="000000"/>
          <w:kern w:val="0"/>
          <w:sz w:val="32"/>
          <w:szCs w:val="32"/>
          <w:lang w:val="en-US" w:eastAsia="zh-CN"/>
        </w:rPr>
        <w:t>本部门202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年度没有部门评价项目。</w:t>
      </w:r>
    </w:p>
    <w:p w14:paraId="0D4E50D0">
      <w:pPr>
        <w:pStyle w:val="7"/>
        <w:widowControl/>
        <w:snapToGrid w:val="0"/>
        <w:spacing w:line="600" w:lineRule="atLeas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第四部分 名词解释</w:t>
      </w:r>
    </w:p>
    <w:p w14:paraId="1114A399">
      <w:pPr>
        <w:pStyle w:val="7"/>
        <w:widowControl/>
        <w:autoSpaceDE w:val="0"/>
        <w:snapToGrid w:val="0"/>
        <w:spacing w:line="600" w:lineRule="atLeast"/>
        <w:ind w:firstLine="643" w:firstLineChars="200"/>
        <w:rPr>
          <w:rFonts w:ascii="仿宋_GB2312" w:eastAsia="仿宋_GB2312" w:cs="仿宋_GB2312"/>
          <w:color w:val="000000"/>
          <w:sz w:val="32"/>
          <w:szCs w:val="32"/>
        </w:rPr>
      </w:pPr>
      <w:r>
        <w:rPr>
          <w:rFonts w:ascii="仿宋_GB2312" w:eastAsia="仿宋_GB2312" w:cs="仿宋_GB2312"/>
          <w:b/>
          <w:color w:val="000000"/>
          <w:sz w:val="32"/>
          <w:szCs w:val="32"/>
        </w:rPr>
        <w:t>一、财政拨款收入：</w:t>
      </w:r>
      <w:r>
        <w:rPr>
          <w:rFonts w:ascii="仿宋_GB2312" w:eastAsia="仿宋_GB2312" w:cs="仿宋_GB2312"/>
          <w:color w:val="000000"/>
          <w:sz w:val="32"/>
          <w:szCs w:val="32"/>
        </w:rPr>
        <w:t>指单位从同级财政部门取得的财政预算资金。</w:t>
      </w:r>
    </w:p>
    <w:p w14:paraId="5FD528D0">
      <w:pPr>
        <w:pStyle w:val="7"/>
        <w:widowControl/>
        <w:autoSpaceDE w:val="0"/>
        <w:snapToGrid w:val="0"/>
        <w:spacing w:line="600" w:lineRule="atLeast"/>
        <w:ind w:firstLine="640"/>
        <w:rPr>
          <w:rFonts w:ascii="仿宋_GB2312" w:eastAsia="仿宋_GB2312" w:cs="仿宋_GB2312"/>
          <w:color w:val="000000"/>
          <w:sz w:val="32"/>
          <w:szCs w:val="32"/>
        </w:rPr>
      </w:pPr>
      <w:r>
        <w:rPr>
          <w:rFonts w:ascii="仿宋_GB2312" w:eastAsia="仿宋_GB2312" w:cs="仿宋_GB2312"/>
          <w:b/>
          <w:color w:val="000000"/>
          <w:sz w:val="32"/>
          <w:szCs w:val="32"/>
        </w:rPr>
        <w:t>二、事业收入：</w:t>
      </w:r>
      <w:r>
        <w:rPr>
          <w:rFonts w:ascii="仿宋_GB2312" w:eastAsia="仿宋_GB2312" w:cs="仿宋_GB2312"/>
          <w:color w:val="000000"/>
          <w:sz w:val="32"/>
          <w:szCs w:val="32"/>
        </w:rPr>
        <w:t>指事业单位开展专业业务活动及辅助活动所取得的收入。</w:t>
      </w:r>
    </w:p>
    <w:p w14:paraId="609DA88F">
      <w:pPr>
        <w:pStyle w:val="8"/>
        <w:widowControl/>
        <w:autoSpaceDE w:val="0"/>
        <w:snapToGrid w:val="0"/>
        <w:spacing w:before="0" w:after="0" w:line="600" w:lineRule="atLeast"/>
        <w:ind w:firstLine="627"/>
        <w:rPr>
          <w:rFonts w:hint="default" w:ascii="仿宋_GB2312" w:eastAsia="仿宋_GB2312" w:cs="仿宋_GB2312"/>
          <w:b/>
          <w:color w:val="000000"/>
        </w:rPr>
      </w:pPr>
      <w:r>
        <w:rPr>
          <w:rFonts w:hint="default" w:ascii="仿宋_GB2312" w:eastAsia="仿宋_GB2312" w:cs="仿宋_GB2312"/>
          <w:b/>
          <w:color w:val="000000"/>
          <w:sz w:val="32"/>
          <w:szCs w:val="32"/>
        </w:rPr>
        <w:t>三、上级补助收入：</w:t>
      </w:r>
      <w:r>
        <w:rPr>
          <w:rFonts w:hint="default" w:ascii="仿宋_GB2312" w:eastAsia="仿宋_GB2312" w:cs="仿宋_GB2312"/>
          <w:color w:val="000000"/>
          <w:sz w:val="32"/>
          <w:szCs w:val="32"/>
        </w:rPr>
        <w:t>指事业单位从主管部门和上级单位取得的非财政补助收入。</w:t>
      </w:r>
    </w:p>
    <w:p w14:paraId="504D5725">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四、附属单位上缴收入：</w:t>
      </w:r>
      <w:r>
        <w:rPr>
          <w:rFonts w:hint="default" w:ascii="仿宋_GB2312" w:eastAsia="仿宋_GB2312" w:cs="仿宋_GB2312"/>
          <w:color w:val="000000"/>
          <w:sz w:val="32"/>
          <w:szCs w:val="32"/>
        </w:rPr>
        <w:t>指事业单位附属独立核算单位按照有关规定上缴的收入。</w:t>
      </w:r>
    </w:p>
    <w:p w14:paraId="2FA072E5">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五、经营收入</w:t>
      </w:r>
      <w:r>
        <w:rPr>
          <w:rFonts w:cs="宋体"/>
          <w:b/>
          <w:color w:val="000000"/>
        </w:rPr>
        <w:t>：</w:t>
      </w:r>
      <w:r>
        <w:rPr>
          <w:rFonts w:hint="default" w:ascii="仿宋_GB2312" w:eastAsia="仿宋_GB2312" w:cs="仿宋_GB2312"/>
          <w:color w:val="000000"/>
          <w:sz w:val="32"/>
          <w:szCs w:val="32"/>
        </w:rPr>
        <w:t>指事业单位在专业业务活动及其辅助活动之外开展非独立核算经营活动取得的收入。</w:t>
      </w:r>
    </w:p>
    <w:p w14:paraId="2769DC23">
      <w:pPr>
        <w:pStyle w:val="8"/>
        <w:widowControl/>
        <w:autoSpaceDE w:val="0"/>
        <w:snapToGrid w:val="0"/>
        <w:spacing w:before="0" w:after="0" w:line="600" w:lineRule="atLeast"/>
        <w:ind w:firstLine="627"/>
        <w:rPr>
          <w:rFonts w:cs="宋体"/>
          <w:b/>
          <w:color w:val="000000"/>
        </w:rPr>
      </w:pPr>
      <w:r>
        <w:rPr>
          <w:rFonts w:hint="default" w:ascii="仿宋_GB2312" w:eastAsia="仿宋_GB2312" w:cs="仿宋_GB2312"/>
          <w:b/>
          <w:color w:val="000000"/>
          <w:sz w:val="32"/>
          <w:szCs w:val="32"/>
        </w:rPr>
        <w:t>六、其他收入：</w:t>
      </w:r>
      <w:r>
        <w:rPr>
          <w:rFonts w:hint="default" w:ascii="仿宋_GB2312" w:eastAsia="仿宋_GB2312" w:cs="仿宋_GB2312"/>
          <w:color w:val="000000"/>
          <w:sz w:val="32"/>
          <w:szCs w:val="32"/>
        </w:rPr>
        <w:t>指除财政拨款收入、事业收入、上级补助收入、附属单位上缴收入、经营收入以外的各项收入。</w:t>
      </w:r>
    </w:p>
    <w:p w14:paraId="57AE389B">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七、年初结转和结余：</w:t>
      </w:r>
      <w:r>
        <w:rPr>
          <w:rFonts w:hint="default" w:ascii="仿宋_GB2312" w:eastAsia="仿宋_GB2312" w:cs="仿宋_GB2312"/>
          <w:color w:val="000000"/>
          <w:sz w:val="32"/>
          <w:szCs w:val="32"/>
        </w:rPr>
        <w:t>指以前年度安排、结转到本年仍按原规定用途继续使用的资金。</w:t>
      </w:r>
    </w:p>
    <w:p w14:paraId="011678E7">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八、结余分配：</w:t>
      </w:r>
      <w:r>
        <w:rPr>
          <w:rFonts w:hint="default" w:ascii="仿宋_GB2312" w:eastAsia="仿宋_GB2312" w:cs="仿宋_GB2312"/>
          <w:color w:val="000000"/>
          <w:sz w:val="32"/>
          <w:szCs w:val="32"/>
        </w:rPr>
        <w:t>指事业单位按照会计制度规定缴纳的所得税以及从非财政拨款结余中提取的职工福利基金、事业基金等。</w:t>
      </w:r>
    </w:p>
    <w:p w14:paraId="5002F259">
      <w:pPr>
        <w:pStyle w:val="8"/>
        <w:widowControl/>
        <w:autoSpaceDE w:val="0"/>
        <w:snapToGrid w:val="0"/>
        <w:spacing w:before="0" w:after="0" w:line="600" w:lineRule="atLeast"/>
        <w:ind w:firstLine="627"/>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九、年末结转和结余：</w:t>
      </w:r>
      <w:r>
        <w:rPr>
          <w:rFonts w:hint="default" w:ascii="仿宋_GB2312" w:eastAsia="仿宋_GB2312" w:cs="仿宋_GB2312"/>
          <w:color w:val="000000"/>
          <w:sz w:val="32"/>
          <w:szCs w:val="32"/>
        </w:rPr>
        <w:t>指单位本年度或以前年度预算安排、因客观条件发生变化未全部执行或未执行，结转到以后年度继续使用的资金，或项目已经完成等产生的结余资金。</w:t>
      </w:r>
    </w:p>
    <w:p w14:paraId="0DC2FE22">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十、基本支出：</w:t>
      </w:r>
      <w:r>
        <w:rPr>
          <w:rFonts w:hint="default" w:ascii="仿宋_GB2312" w:eastAsia="仿宋_GB2312" w:cs="仿宋_GB2312"/>
          <w:color w:val="000000"/>
          <w:sz w:val="32"/>
          <w:szCs w:val="32"/>
        </w:rPr>
        <w:t>指单位为保障其机构正常运转、完成日常工作任务而发生的人员支出和公用支出。</w:t>
      </w:r>
    </w:p>
    <w:p w14:paraId="114AA739">
      <w:pPr>
        <w:pStyle w:val="8"/>
        <w:widowControl/>
        <w:autoSpaceDE w:val="0"/>
        <w:spacing w:before="0" w:after="0" w:line="600" w:lineRule="atLeast"/>
        <w:ind w:firstLine="627"/>
        <w:jc w:val="both"/>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十一、项目支出：</w:t>
      </w:r>
      <w:r>
        <w:rPr>
          <w:rFonts w:hint="default" w:ascii="仿宋_GB2312" w:eastAsia="仿宋_GB2312" w:cs="仿宋_GB2312"/>
          <w:color w:val="000000"/>
          <w:sz w:val="32"/>
          <w:szCs w:val="32"/>
        </w:rPr>
        <w:t>指单位为完成特定行政任务和事业发展目标在基本支出之外所发生的支出。</w:t>
      </w:r>
      <w:r>
        <w:rPr>
          <w:rFonts w:hint="default" w:ascii="仿宋_GB2312" w:eastAsia="仿宋_GB2312" w:cs="仿宋_GB2312"/>
          <w:color w:val="000000"/>
          <w:sz w:val="32"/>
          <w:szCs w:val="32"/>
        </w:rPr>
        <w:br w:type="textWrapping"/>
      </w:r>
      <w:r>
        <w:rPr>
          <w:rFonts w:hint="default" w:ascii="仿宋_GB2312" w:eastAsia="仿宋_GB2312" w:cs="仿宋_GB2312"/>
          <w:color w:val="000000"/>
          <w:sz w:val="32"/>
          <w:szCs w:val="32"/>
        </w:rPr>
        <w:t xml:space="preserve">    </w:t>
      </w:r>
      <w:r>
        <w:rPr>
          <w:rFonts w:hint="default" w:ascii="仿宋_GB2312" w:eastAsia="仿宋_GB2312" w:cs="仿宋_GB2312"/>
          <w:b/>
          <w:color w:val="000000"/>
          <w:sz w:val="32"/>
          <w:szCs w:val="32"/>
        </w:rPr>
        <w:t>十二、经营支出：</w:t>
      </w:r>
      <w:r>
        <w:rPr>
          <w:rFonts w:hint="default" w:ascii="仿宋_GB2312" w:eastAsia="仿宋_GB2312" w:cs="仿宋_GB2312"/>
          <w:color w:val="000000"/>
          <w:sz w:val="32"/>
          <w:szCs w:val="32"/>
        </w:rPr>
        <w:t>指事业单位在专业业务活动及其辅助活动之外开展非独立核算经营活动发生的支出。</w:t>
      </w:r>
    </w:p>
    <w:p w14:paraId="5FEAD3CA">
      <w:pPr>
        <w:pStyle w:val="8"/>
        <w:widowControl/>
        <w:autoSpaceDE w:val="0"/>
        <w:spacing w:before="0" w:after="0" w:line="600" w:lineRule="atLeast"/>
        <w:ind w:firstLine="627"/>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十三、</w:t>
      </w:r>
      <w:r>
        <w:rPr>
          <w:rFonts w:cs="宋体"/>
          <w:b/>
          <w:color w:val="000000"/>
          <w:sz w:val="32"/>
          <w:szCs w:val="32"/>
        </w:rPr>
        <w:t>“</w:t>
      </w:r>
      <w:r>
        <w:rPr>
          <w:rFonts w:hint="default" w:ascii="仿宋_GB2312" w:eastAsia="仿宋_GB2312" w:cs="仿宋_GB2312"/>
          <w:b/>
          <w:color w:val="000000"/>
          <w:sz w:val="32"/>
          <w:szCs w:val="32"/>
        </w:rPr>
        <w:t>三公</w:t>
      </w:r>
      <w:r>
        <w:rPr>
          <w:rFonts w:cs="宋体"/>
          <w:b/>
          <w:color w:val="000000"/>
          <w:sz w:val="32"/>
          <w:szCs w:val="32"/>
        </w:rPr>
        <w:t>”</w:t>
      </w:r>
      <w:r>
        <w:rPr>
          <w:rFonts w:hint="default" w:ascii="仿宋_GB2312" w:eastAsia="仿宋_GB2312" w:cs="仿宋_GB2312"/>
          <w:b/>
          <w:color w:val="000000"/>
          <w:sz w:val="32"/>
          <w:szCs w:val="32"/>
        </w:rPr>
        <w:t>经费：</w:t>
      </w:r>
      <w:r>
        <w:rPr>
          <w:rFonts w:hint="default" w:ascii="仿宋_GB2312" w:eastAsia="仿宋_GB2312" w:cs="仿宋_GB2312"/>
          <w:color w:val="000000"/>
          <w:sz w:val="32"/>
          <w:szCs w:val="32"/>
        </w:rPr>
        <w:t>纳入财政预决算管理的</w:t>
      </w:r>
      <w:r>
        <w:rPr>
          <w:rFonts w:cs="宋体"/>
          <w:color w:val="000000"/>
          <w:sz w:val="32"/>
          <w:szCs w:val="32"/>
        </w:rPr>
        <w:t>“</w:t>
      </w:r>
      <w:r>
        <w:rPr>
          <w:rFonts w:hint="default" w:ascii="仿宋_GB2312" w:eastAsia="仿宋_GB2312" w:cs="仿宋_GB2312"/>
          <w:color w:val="000000"/>
          <w:sz w:val="32"/>
          <w:szCs w:val="32"/>
        </w:rPr>
        <w:t>三公</w:t>
      </w:r>
      <w:r>
        <w:rPr>
          <w:rFonts w:cs="宋体"/>
          <w:color w:val="000000"/>
          <w:sz w:val="32"/>
          <w:szCs w:val="32"/>
        </w:rPr>
        <w:t>”</w:t>
      </w:r>
      <w:r>
        <w:rPr>
          <w:rFonts w:hint="default" w:ascii="仿宋_GB2312" w:eastAsia="仿宋_GB2312" w:cs="仿宋_GB2312"/>
          <w:color w:val="000000"/>
          <w:sz w:val="32"/>
          <w:szCs w:val="32"/>
        </w:rPr>
        <w:t>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支出。</w:t>
      </w:r>
    </w:p>
    <w:p w14:paraId="68418E37">
      <w:pPr>
        <w:pStyle w:val="8"/>
        <w:widowControl/>
        <w:autoSpaceDE w:val="0"/>
        <w:spacing w:before="0" w:after="0" w:line="600" w:lineRule="atLeast"/>
        <w:ind w:firstLine="627"/>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十四、机关运行经费</w:t>
      </w:r>
      <w:r>
        <w:rPr>
          <w:rFonts w:hint="default" w:ascii="仿宋_GB2312" w:eastAsia="仿宋_GB2312" w:cs="仿宋_GB2312"/>
          <w:color w:val="000000"/>
          <w:sz w:val="32"/>
          <w:szCs w:val="32"/>
        </w:rPr>
        <w:t>：指为保障行政单位（含参照公务员法管理的事业单位）运行用于购买货物和服务的各项资金，包括办公及印刷费、邮电费、差旅费、会议费、福利费、日常维修费、专用材料费及一般设备购置费、办公用房水电费、办公用房取暖费、办公用房物业管理费、公务用车运行维护费以及其他费用。</w:t>
      </w:r>
    </w:p>
    <w:p w14:paraId="32A67C04">
      <w:pPr>
        <w:pStyle w:val="8"/>
        <w:widowControl/>
        <w:spacing w:before="0" w:after="0" w:line="600" w:lineRule="atLeast"/>
        <w:jc w:val="center"/>
        <w:rPr>
          <w:rFonts w:hint="default" w:ascii="楷体_GB2312" w:eastAsia="楷体_GB2312" w:cs="楷体_GB2312"/>
          <w:color w:val="000000"/>
          <w:sz w:val="32"/>
          <w:szCs w:val="32"/>
        </w:rPr>
      </w:pPr>
      <w:r>
        <w:rPr>
          <w:rFonts w:hint="default" w:ascii="楷体_GB2312" w:eastAsia="楷体_GB2312" w:cs="楷体_GB2312"/>
          <w:color w:val="000000"/>
          <w:sz w:val="32"/>
          <w:szCs w:val="32"/>
        </w:rPr>
        <w:t>（可根据本部门预算实际情况增加或减少相关名词解释）</w:t>
      </w:r>
    </w:p>
    <w:p w14:paraId="1A79B83F">
      <w:pPr>
        <w:pStyle w:val="7"/>
        <w:widowControl/>
        <w:ind w:left="525" w:hanging="896"/>
        <w:jc w:val="center"/>
        <w:rPr>
          <w:rFonts w:hint="eastAsia" w:ascii="宋体" w:hAnsi="宋体" w:cs="宋体"/>
          <w:b/>
          <w:color w:val="000000"/>
          <w:sz w:val="36"/>
          <w:szCs w:val="36"/>
        </w:rPr>
      </w:pPr>
      <w:r>
        <w:rPr>
          <w:rFonts w:hint="eastAsia" w:ascii="宋体" w:hAnsi="宋体" w:cs="宋体"/>
          <w:b/>
          <w:color w:val="000000"/>
          <w:sz w:val="36"/>
          <w:szCs w:val="36"/>
        </w:rPr>
        <w:t xml:space="preserve"> </w:t>
      </w:r>
    </w:p>
    <w:p w14:paraId="1CE4B4C3"/>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D200E1"/>
    <w:multiLevelType w:val="singleLevel"/>
    <w:tmpl w:val="99D200E1"/>
    <w:lvl w:ilvl="0" w:tentative="0">
      <w:start w:val="3"/>
      <w:numFmt w:val="decimal"/>
      <w:lvlText w:val="%1."/>
      <w:lvlJc w:val="left"/>
      <w:pPr>
        <w:tabs>
          <w:tab w:val="left" w:pos="312"/>
        </w:tabs>
      </w:pPr>
    </w:lvl>
  </w:abstractNum>
  <w:abstractNum w:abstractNumId="1">
    <w:nsid w:val="12DD6FDF"/>
    <w:multiLevelType w:val="singleLevel"/>
    <w:tmpl w:val="12DD6FDF"/>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iNmU4ZTQ1ZGM0NmNmNGExNjQwMmJiNWY5NmZiNjAifQ=="/>
  </w:docVars>
  <w:rsids>
    <w:rsidRoot w:val="00000000"/>
    <w:rsid w:val="012E48BB"/>
    <w:rsid w:val="017C65C3"/>
    <w:rsid w:val="06E31D05"/>
    <w:rsid w:val="084943A0"/>
    <w:rsid w:val="0CBC4622"/>
    <w:rsid w:val="0CF82F67"/>
    <w:rsid w:val="0DE31BC9"/>
    <w:rsid w:val="0DEF0C75"/>
    <w:rsid w:val="0EB93252"/>
    <w:rsid w:val="109929FE"/>
    <w:rsid w:val="119E5B14"/>
    <w:rsid w:val="12A827A3"/>
    <w:rsid w:val="14D007F7"/>
    <w:rsid w:val="16C31512"/>
    <w:rsid w:val="17217A6B"/>
    <w:rsid w:val="18B0066E"/>
    <w:rsid w:val="19E51499"/>
    <w:rsid w:val="1AFA1BE0"/>
    <w:rsid w:val="1BA64330"/>
    <w:rsid w:val="1C400B61"/>
    <w:rsid w:val="2017656B"/>
    <w:rsid w:val="202020C6"/>
    <w:rsid w:val="22403F5F"/>
    <w:rsid w:val="22971377"/>
    <w:rsid w:val="23727F09"/>
    <w:rsid w:val="23EE1701"/>
    <w:rsid w:val="265F2920"/>
    <w:rsid w:val="268A30D7"/>
    <w:rsid w:val="28AC5063"/>
    <w:rsid w:val="29233FF4"/>
    <w:rsid w:val="2A675100"/>
    <w:rsid w:val="2E08741C"/>
    <w:rsid w:val="2ED7715F"/>
    <w:rsid w:val="2F421680"/>
    <w:rsid w:val="31FE2A9B"/>
    <w:rsid w:val="327C5A01"/>
    <w:rsid w:val="329B4CED"/>
    <w:rsid w:val="32D2128C"/>
    <w:rsid w:val="34127A81"/>
    <w:rsid w:val="34C1365F"/>
    <w:rsid w:val="372563CC"/>
    <w:rsid w:val="3891287A"/>
    <w:rsid w:val="394A5183"/>
    <w:rsid w:val="39DE7773"/>
    <w:rsid w:val="3A5A7F48"/>
    <w:rsid w:val="3A6F30F7"/>
    <w:rsid w:val="3D347E6B"/>
    <w:rsid w:val="3DEE7308"/>
    <w:rsid w:val="3E567D49"/>
    <w:rsid w:val="3FFC1167"/>
    <w:rsid w:val="41040377"/>
    <w:rsid w:val="41CB2BAC"/>
    <w:rsid w:val="41F553CE"/>
    <w:rsid w:val="42247C5D"/>
    <w:rsid w:val="43573127"/>
    <w:rsid w:val="43C416EE"/>
    <w:rsid w:val="44AE2811"/>
    <w:rsid w:val="44C811BF"/>
    <w:rsid w:val="45210A2C"/>
    <w:rsid w:val="46847C96"/>
    <w:rsid w:val="4AD44C9E"/>
    <w:rsid w:val="4BC27639"/>
    <w:rsid w:val="4CD22F01"/>
    <w:rsid w:val="4D505E7B"/>
    <w:rsid w:val="4D7015CC"/>
    <w:rsid w:val="4DB2681A"/>
    <w:rsid w:val="4DCE1C69"/>
    <w:rsid w:val="4F3F3DF4"/>
    <w:rsid w:val="4FD553B3"/>
    <w:rsid w:val="50240EC7"/>
    <w:rsid w:val="525A44C0"/>
    <w:rsid w:val="53764A2F"/>
    <w:rsid w:val="53C364A0"/>
    <w:rsid w:val="54D513AC"/>
    <w:rsid w:val="55070947"/>
    <w:rsid w:val="56D00EA4"/>
    <w:rsid w:val="56EE6ECE"/>
    <w:rsid w:val="587D3301"/>
    <w:rsid w:val="5C2E4906"/>
    <w:rsid w:val="5E0161AA"/>
    <w:rsid w:val="5FD85E09"/>
    <w:rsid w:val="61F86FCB"/>
    <w:rsid w:val="64125C9F"/>
    <w:rsid w:val="66233EFB"/>
    <w:rsid w:val="686B7131"/>
    <w:rsid w:val="68C92F2F"/>
    <w:rsid w:val="69A6165D"/>
    <w:rsid w:val="70B34B30"/>
    <w:rsid w:val="72751A0A"/>
    <w:rsid w:val="72AD15C5"/>
    <w:rsid w:val="72BC21FF"/>
    <w:rsid w:val="733B6003"/>
    <w:rsid w:val="7353245D"/>
    <w:rsid w:val="73C248CA"/>
    <w:rsid w:val="749D7B1B"/>
    <w:rsid w:val="754C2DC2"/>
    <w:rsid w:val="77A1567B"/>
    <w:rsid w:val="79DB770E"/>
    <w:rsid w:val="7B4056A4"/>
    <w:rsid w:val="7C6220AC"/>
    <w:rsid w:val="7D2945D9"/>
    <w:rsid w:val="7D9E5546"/>
    <w:rsid w:val="7E6036B2"/>
    <w:rsid w:val="7E9F09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qFormat/>
    <w:uiPriority w:val="0"/>
    <w:pPr>
      <w:jc w:val="center"/>
    </w:pPr>
    <w:rPr>
      <w:rFonts w:eastAsia="黑体"/>
      <w:sz w:val="36"/>
    </w:rPr>
  </w:style>
  <w:style w:type="character" w:customStyle="1" w:styleId="5">
    <w:name w:val="15"/>
    <w:basedOn w:val="4"/>
    <w:qFormat/>
    <w:uiPriority w:val="0"/>
    <w:rPr>
      <w:rFonts w:hint="default" w:ascii="Times New Roman" w:hAnsi="Times New Roman" w:cs="Times New Roman"/>
    </w:rPr>
  </w:style>
  <w:style w:type="character" w:customStyle="1" w:styleId="6">
    <w:name w:val="10"/>
    <w:basedOn w:val="4"/>
    <w:qFormat/>
    <w:uiPriority w:val="0"/>
    <w:rPr>
      <w:rFonts w:hint="default" w:ascii="Times New Roman" w:hAnsi="Times New Roman" w:cs="Times New Roman"/>
    </w:rPr>
  </w:style>
  <w:style w:type="paragraph" w:customStyle="1" w:styleId="7">
    <w:name w:val="p0"/>
    <w:basedOn w:val="1"/>
    <w:qFormat/>
    <w:uiPriority w:val="0"/>
    <w:pPr>
      <w:spacing w:before="0" w:beforeAutospacing="0" w:after="0" w:afterAutospacing="0"/>
      <w:ind w:left="0" w:right="0"/>
      <w:jc w:val="both"/>
    </w:pPr>
    <w:rPr>
      <w:rFonts w:hint="default" w:ascii="Calibri" w:hAnsi="Calibri" w:cs="Calibri"/>
      <w:kern w:val="0"/>
      <w:sz w:val="21"/>
      <w:szCs w:val="21"/>
      <w:lang w:val="en-US" w:eastAsia="zh-CN" w:bidi="ar"/>
    </w:rPr>
  </w:style>
  <w:style w:type="paragraph" w:customStyle="1" w:styleId="8">
    <w:name w:val="p16"/>
    <w:basedOn w:val="1"/>
    <w:qFormat/>
    <w:uiPriority w:val="0"/>
    <w:pPr>
      <w:spacing w:before="100" w:beforeAutospacing="0" w:after="100" w:afterAutospacing="0"/>
      <w:jc w:val="left"/>
    </w:pPr>
    <w:rPr>
      <w:rFonts w:hint="eastAsia" w:ascii="宋体" w:hAnsi="宋体" w:eastAsia="宋体" w:cs="宋体"/>
      <w:kern w:val="0"/>
      <w:sz w:val="24"/>
      <w:szCs w:val="24"/>
      <w:lang w:val="en-US" w:eastAsia="zh-CN" w:bidi="ar"/>
    </w:rPr>
  </w:style>
  <w:style w:type="character" w:customStyle="1" w:styleId="9">
    <w:name w:val="font122"/>
    <w:basedOn w:val="4"/>
    <w:qFormat/>
    <w:uiPriority w:val="0"/>
    <w:rPr>
      <w:rFonts w:hint="eastAsia" w:ascii="宋体" w:hAnsi="宋体" w:eastAsia="宋体" w:cs="宋体"/>
      <w:b/>
      <w:bCs/>
      <w:color w:val="000000"/>
      <w:sz w:val="32"/>
      <w:szCs w:val="32"/>
      <w:u w:val="none"/>
    </w:rPr>
  </w:style>
  <w:style w:type="character" w:customStyle="1" w:styleId="10">
    <w:name w:val="font21"/>
    <w:basedOn w:val="4"/>
    <w:qFormat/>
    <w:uiPriority w:val="0"/>
    <w:rPr>
      <w:rFonts w:hint="eastAsia" w:ascii="宋体" w:hAnsi="宋体" w:eastAsia="宋体" w:cs="宋体"/>
      <w:color w:val="000000"/>
      <w:sz w:val="32"/>
      <w:szCs w:val="32"/>
      <w:u w:val="none"/>
    </w:rPr>
  </w:style>
  <w:style w:type="character" w:customStyle="1" w:styleId="11">
    <w:name w:val="font161"/>
    <w:basedOn w:val="4"/>
    <w:qFormat/>
    <w:uiPriority w:val="0"/>
    <w:rPr>
      <w:rFonts w:hint="eastAsia" w:ascii="宋体" w:hAnsi="宋体" w:eastAsia="宋体" w:cs="宋体"/>
      <w:color w:val="000000"/>
      <w:sz w:val="18"/>
      <w:szCs w:val="18"/>
      <w:u w:val="none"/>
    </w:rPr>
  </w:style>
  <w:style w:type="character" w:customStyle="1" w:styleId="12">
    <w:name w:val="font112"/>
    <w:basedOn w:val="4"/>
    <w:qFormat/>
    <w:uiPriority w:val="0"/>
    <w:rPr>
      <w:rFonts w:hint="eastAsia" w:ascii="宋体" w:hAnsi="宋体" w:eastAsia="宋体" w:cs="宋体"/>
      <w:b/>
      <w:bCs/>
      <w:color w:val="000000"/>
      <w:sz w:val="32"/>
      <w:szCs w:val="32"/>
      <w:u w:val="none"/>
    </w:rPr>
  </w:style>
  <w:style w:type="character" w:customStyle="1" w:styleId="13">
    <w:name w:val="font41"/>
    <w:basedOn w:val="4"/>
    <w:qFormat/>
    <w:uiPriority w:val="0"/>
    <w:rPr>
      <w:rFonts w:hint="eastAsia" w:ascii="宋体" w:hAnsi="宋体" w:eastAsia="宋体" w:cs="宋体"/>
      <w:color w:val="000000"/>
      <w:sz w:val="32"/>
      <w:szCs w:val="32"/>
      <w:u w:val="none"/>
    </w:rPr>
  </w:style>
  <w:style w:type="character" w:customStyle="1" w:styleId="14">
    <w:name w:val="font31"/>
    <w:basedOn w:val="4"/>
    <w:qFormat/>
    <w:uiPriority w:val="0"/>
    <w:rPr>
      <w:rFonts w:hint="eastAsia" w:ascii="宋体" w:hAnsi="宋体" w:eastAsia="宋体" w:cs="宋体"/>
      <w:color w:val="000000"/>
      <w:sz w:val="20"/>
      <w:szCs w:val="20"/>
      <w:u w:val="none"/>
    </w:rPr>
  </w:style>
  <w:style w:type="character" w:customStyle="1" w:styleId="15">
    <w:name w:val="font121"/>
    <w:basedOn w:val="4"/>
    <w:qFormat/>
    <w:uiPriority w:val="0"/>
    <w:rPr>
      <w:rFonts w:hint="eastAsia" w:ascii="宋体" w:hAnsi="宋体" w:eastAsia="宋体" w:cs="宋体"/>
      <w:color w:val="000000"/>
      <w:sz w:val="20"/>
      <w:szCs w:val="20"/>
      <w:u w:val="none"/>
    </w:rPr>
  </w:style>
  <w:style w:type="character" w:customStyle="1" w:styleId="16">
    <w:name w:val="font91"/>
    <w:basedOn w:val="4"/>
    <w:qFormat/>
    <w:uiPriority w:val="0"/>
    <w:rPr>
      <w:rFonts w:hint="eastAsia" w:ascii="宋体" w:hAnsi="宋体" w:eastAsia="宋体" w:cs="宋体"/>
      <w:color w:val="000000"/>
      <w:sz w:val="18"/>
      <w:szCs w:val="18"/>
      <w:u w:val="none"/>
    </w:rPr>
  </w:style>
  <w:style w:type="character" w:customStyle="1" w:styleId="17">
    <w:name w:val="font11"/>
    <w:basedOn w:val="4"/>
    <w:qFormat/>
    <w:uiPriority w:val="0"/>
    <w:rPr>
      <w:rFonts w:hint="eastAsia" w:ascii="宋体" w:hAnsi="宋体" w:eastAsia="宋体" w:cs="宋体"/>
      <w:color w:val="000000"/>
      <w:sz w:val="18"/>
      <w:szCs w:val="18"/>
      <w:u w:val="none"/>
    </w:rPr>
  </w:style>
  <w:style w:type="character" w:customStyle="1" w:styleId="18">
    <w:name w:val="font141"/>
    <w:basedOn w:val="4"/>
    <w:qFormat/>
    <w:uiPriority w:val="0"/>
    <w:rPr>
      <w:rFonts w:hint="eastAsia"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8636</Words>
  <Characters>10742</Characters>
  <Lines>1</Lines>
  <Paragraphs>1</Paragraphs>
  <TotalTime>1366</TotalTime>
  <ScaleCrop>false</ScaleCrop>
  <LinksUpToDate>false</LinksUpToDate>
  <CharactersWithSpaces>11010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2022-07-25T07:12:00Z</dcterms:created>
  <dc:creator>Administrator</dc:creator>
  <cp:lastModifiedBy>姜娜</cp:lastModifiedBy>
  <dcterms:modified xsi:type="dcterms:W3CDTF">2024-08-28T01:31:31Z</dcterms:modified>
  <dc:title>淮南市XX单位2022年度部门决算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F0DE12E17F9943C0A8D23EE3348DFFEE_13</vt:lpwstr>
  </property>
</Properties>
</file>